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1A08" w14:textId="47B4ED7B" w:rsidR="005946E1" w:rsidRPr="00DC331F" w:rsidRDefault="00220942" w:rsidP="00A85472">
      <w:pPr>
        <w:spacing w:after="120"/>
        <w:rPr>
          <w:rFonts w:ascii="Georgia" w:hAnsi="Georgia"/>
          <w:sz w:val="32"/>
          <w:szCs w:val="32"/>
        </w:rPr>
      </w:pPr>
      <w:r w:rsidRPr="00DC331F">
        <w:rPr>
          <w:rFonts w:ascii="Georgia" w:hAnsi="Georgia"/>
          <w:sz w:val="32"/>
          <w:szCs w:val="32"/>
        </w:rPr>
        <w:t>A changing forecast</w:t>
      </w:r>
    </w:p>
    <w:p w14:paraId="43558809" w14:textId="2CB1C0F7" w:rsidR="005946E1" w:rsidRPr="00DC331F" w:rsidRDefault="00220942" w:rsidP="00A85472">
      <w:pPr>
        <w:spacing w:after="120"/>
        <w:rPr>
          <w:rFonts w:ascii="Georgia" w:hAnsi="Georgia"/>
          <w:i/>
          <w:iCs/>
          <w:sz w:val="20"/>
          <w:szCs w:val="20"/>
        </w:rPr>
      </w:pPr>
      <w:r w:rsidRPr="00DC331F">
        <w:rPr>
          <w:rFonts w:ascii="Georgia" w:hAnsi="Georgia"/>
          <w:i/>
          <w:iCs/>
          <w:sz w:val="20"/>
          <w:szCs w:val="20"/>
        </w:rPr>
        <w:t xml:space="preserve">Markets experienced </w:t>
      </w:r>
      <w:r w:rsidR="00A24BF7" w:rsidRPr="00DC331F">
        <w:rPr>
          <w:rFonts w:ascii="Georgia" w:hAnsi="Georgia"/>
          <w:i/>
          <w:iCs/>
          <w:sz w:val="20"/>
          <w:szCs w:val="20"/>
        </w:rPr>
        <w:t>ups and downs</w:t>
      </w:r>
      <w:r w:rsidRPr="00DC331F">
        <w:rPr>
          <w:rFonts w:ascii="Georgia" w:hAnsi="Georgia"/>
          <w:i/>
          <w:iCs/>
          <w:sz w:val="20"/>
          <w:szCs w:val="20"/>
        </w:rPr>
        <w:t xml:space="preserve"> in April as economic forecasts pointed to </w:t>
      </w:r>
      <w:r w:rsidR="00DC331F">
        <w:rPr>
          <w:rFonts w:ascii="Georgia" w:hAnsi="Georgia"/>
          <w:i/>
          <w:iCs/>
          <w:sz w:val="20"/>
          <w:szCs w:val="20"/>
        </w:rPr>
        <w:t>slowing</w:t>
      </w:r>
      <w:r w:rsidRPr="00DC331F">
        <w:rPr>
          <w:rFonts w:ascii="Georgia" w:hAnsi="Georgia"/>
          <w:i/>
          <w:iCs/>
          <w:sz w:val="20"/>
          <w:szCs w:val="20"/>
        </w:rPr>
        <w:t xml:space="preserve"> growth and </w:t>
      </w:r>
      <w:r w:rsidR="00A24BF7" w:rsidRPr="00DC331F">
        <w:rPr>
          <w:rFonts w:ascii="Georgia" w:hAnsi="Georgia"/>
          <w:i/>
          <w:iCs/>
          <w:sz w:val="20"/>
          <w:szCs w:val="20"/>
        </w:rPr>
        <w:t xml:space="preserve">ongoing </w:t>
      </w:r>
      <w:r w:rsidR="007D41D3" w:rsidRPr="00DC331F">
        <w:rPr>
          <w:rFonts w:ascii="Georgia" w:hAnsi="Georgia"/>
          <w:i/>
          <w:iCs/>
          <w:sz w:val="20"/>
          <w:szCs w:val="20"/>
        </w:rPr>
        <w:t>measures to tackle inflation</w:t>
      </w:r>
      <w:r w:rsidRPr="00DC331F">
        <w:rPr>
          <w:rFonts w:ascii="Georgia" w:hAnsi="Georgia"/>
          <w:i/>
          <w:iCs/>
          <w:sz w:val="20"/>
          <w:szCs w:val="20"/>
        </w:rPr>
        <w:t xml:space="preserve">. </w:t>
      </w:r>
    </w:p>
    <w:p w14:paraId="4350A719" w14:textId="376A7798" w:rsidR="005946E1" w:rsidRPr="00DC331F" w:rsidRDefault="005946E1" w:rsidP="00A85472">
      <w:pPr>
        <w:spacing w:after="120"/>
        <w:rPr>
          <w:rFonts w:ascii="Georgia" w:hAnsi="Georgia"/>
          <w:i/>
          <w:iCs/>
          <w:sz w:val="20"/>
          <w:szCs w:val="20"/>
        </w:rPr>
      </w:pPr>
    </w:p>
    <w:p w14:paraId="49921E83" w14:textId="1CCB98C9" w:rsidR="0021465C" w:rsidRPr="00DC331F" w:rsidRDefault="00EA46D3" w:rsidP="00A85472">
      <w:pPr>
        <w:spacing w:after="120"/>
        <w:rPr>
          <w:rFonts w:ascii="Georgia" w:hAnsi="Georgia"/>
          <w:color w:val="0D0D0D"/>
          <w:sz w:val="20"/>
          <w:szCs w:val="20"/>
        </w:rPr>
      </w:pPr>
      <w:r w:rsidRPr="00DC331F">
        <w:rPr>
          <w:rFonts w:ascii="Georgia" w:hAnsi="Georgia"/>
          <w:color w:val="0D0D0D"/>
          <w:sz w:val="20"/>
          <w:szCs w:val="20"/>
        </w:rPr>
        <w:t xml:space="preserve">April </w:t>
      </w:r>
      <w:r w:rsidR="0021465C" w:rsidRPr="00DC331F">
        <w:rPr>
          <w:rFonts w:ascii="Georgia" w:hAnsi="Georgia"/>
          <w:color w:val="0D0D0D"/>
          <w:sz w:val="20"/>
          <w:szCs w:val="20"/>
        </w:rPr>
        <w:t>brought</w:t>
      </w:r>
      <w:r w:rsidRPr="00DC331F">
        <w:rPr>
          <w:rFonts w:ascii="Georgia" w:hAnsi="Georgia"/>
          <w:color w:val="0D0D0D"/>
          <w:sz w:val="20"/>
          <w:szCs w:val="20"/>
        </w:rPr>
        <w:t xml:space="preserve"> further economic effects from the war in Ukraine, as rising inflation prompted the International Monetary Fund</w:t>
      </w:r>
      <w:r w:rsidR="008919E7">
        <w:rPr>
          <w:rFonts w:ascii="Georgia" w:hAnsi="Georgia"/>
          <w:color w:val="0D0D0D"/>
          <w:sz w:val="20"/>
          <w:szCs w:val="20"/>
        </w:rPr>
        <w:t xml:space="preserve"> </w:t>
      </w:r>
      <w:r w:rsidR="009A3A29">
        <w:rPr>
          <w:rFonts w:ascii="Georgia" w:hAnsi="Georgia"/>
          <w:color w:val="0D0D0D"/>
          <w:sz w:val="20"/>
          <w:szCs w:val="20"/>
        </w:rPr>
        <w:t xml:space="preserve">(IMF) </w:t>
      </w:r>
      <w:r w:rsidR="005503EE" w:rsidRPr="00DC331F">
        <w:rPr>
          <w:rFonts w:ascii="Georgia" w:hAnsi="Georgia"/>
          <w:color w:val="0D0D0D"/>
          <w:sz w:val="20"/>
          <w:szCs w:val="20"/>
        </w:rPr>
        <w:t xml:space="preserve">to </w:t>
      </w:r>
      <w:r w:rsidRPr="00DC331F">
        <w:rPr>
          <w:rFonts w:ascii="Georgia" w:hAnsi="Georgia"/>
          <w:color w:val="0D0D0D"/>
          <w:sz w:val="20"/>
          <w:szCs w:val="20"/>
        </w:rPr>
        <w:t xml:space="preserve">cut its forecast </w:t>
      </w:r>
      <w:r w:rsidR="00A24BF7" w:rsidRPr="00DC331F">
        <w:rPr>
          <w:rFonts w:ascii="Georgia" w:hAnsi="Georgia"/>
          <w:color w:val="0D0D0D"/>
          <w:sz w:val="20"/>
          <w:szCs w:val="20"/>
        </w:rPr>
        <w:t xml:space="preserve">for </w:t>
      </w:r>
      <w:r w:rsidRPr="00DC331F">
        <w:rPr>
          <w:rFonts w:ascii="Georgia" w:hAnsi="Georgia"/>
          <w:color w:val="0D0D0D"/>
          <w:sz w:val="20"/>
          <w:szCs w:val="20"/>
        </w:rPr>
        <w:t xml:space="preserve">global economic growth for the rest of this year and </w:t>
      </w:r>
      <w:r w:rsidR="00BA715D" w:rsidRPr="00DC331F">
        <w:rPr>
          <w:rFonts w:ascii="Georgia" w:hAnsi="Georgia"/>
          <w:color w:val="0D0D0D"/>
          <w:sz w:val="20"/>
          <w:szCs w:val="20"/>
        </w:rPr>
        <w:t>in</w:t>
      </w:r>
      <w:r w:rsidR="005503EE" w:rsidRPr="00DC331F">
        <w:rPr>
          <w:rFonts w:ascii="Georgia" w:hAnsi="Georgia"/>
          <w:color w:val="0D0D0D"/>
          <w:sz w:val="20"/>
          <w:szCs w:val="20"/>
        </w:rPr>
        <w:t xml:space="preserve"> 2</w:t>
      </w:r>
      <w:r w:rsidRPr="00DC331F">
        <w:rPr>
          <w:rFonts w:ascii="Georgia" w:hAnsi="Georgia"/>
          <w:color w:val="0D0D0D"/>
          <w:sz w:val="20"/>
          <w:szCs w:val="20"/>
        </w:rPr>
        <w:t>023.</w:t>
      </w:r>
      <w:r w:rsidR="004A423F" w:rsidRPr="00DC331F">
        <w:rPr>
          <w:rFonts w:ascii="Georgia" w:hAnsi="Georgia"/>
          <w:color w:val="0D0D0D"/>
          <w:sz w:val="20"/>
          <w:szCs w:val="20"/>
        </w:rPr>
        <w:t xml:space="preserve"> T</w:t>
      </w:r>
      <w:r w:rsidR="003E7EE5" w:rsidRPr="00DC331F">
        <w:rPr>
          <w:rFonts w:ascii="Georgia" w:hAnsi="Georgia"/>
          <w:color w:val="0D0D0D"/>
          <w:sz w:val="20"/>
          <w:szCs w:val="20"/>
        </w:rPr>
        <w:t>he Organisation for Economic Cooperation and Development</w:t>
      </w:r>
      <w:r w:rsidR="008919E7">
        <w:rPr>
          <w:rFonts w:ascii="Georgia" w:hAnsi="Georgia"/>
          <w:color w:val="0D0D0D"/>
          <w:sz w:val="20"/>
          <w:szCs w:val="20"/>
        </w:rPr>
        <w:t xml:space="preserve"> </w:t>
      </w:r>
      <w:r w:rsidR="003E7EE5" w:rsidRPr="00DC331F">
        <w:rPr>
          <w:rFonts w:ascii="Georgia" w:hAnsi="Georgia"/>
          <w:color w:val="0D0D0D"/>
          <w:sz w:val="20"/>
          <w:szCs w:val="20"/>
        </w:rPr>
        <w:t xml:space="preserve">reported annual inflation </w:t>
      </w:r>
      <w:r w:rsidR="001E3409" w:rsidRPr="00DC331F">
        <w:rPr>
          <w:rFonts w:ascii="Georgia" w:hAnsi="Georgia"/>
          <w:color w:val="121212"/>
          <w:sz w:val="20"/>
          <w:szCs w:val="20"/>
        </w:rPr>
        <w:t xml:space="preserve">across its member countries rose to 7.7% in February 2022, </w:t>
      </w:r>
      <w:r w:rsidR="0021465C" w:rsidRPr="00DC331F">
        <w:rPr>
          <w:rFonts w:ascii="Georgia" w:hAnsi="Georgia"/>
          <w:color w:val="121212"/>
          <w:sz w:val="20"/>
          <w:szCs w:val="20"/>
        </w:rPr>
        <w:t xml:space="preserve">which is </w:t>
      </w:r>
      <w:r w:rsidR="001E3409" w:rsidRPr="00DC331F">
        <w:rPr>
          <w:rFonts w:ascii="Georgia" w:hAnsi="Georgia"/>
          <w:color w:val="121212"/>
          <w:sz w:val="20"/>
          <w:szCs w:val="20"/>
        </w:rPr>
        <w:t xml:space="preserve">the highest since December 1990. </w:t>
      </w:r>
    </w:p>
    <w:p w14:paraId="636B1AEE" w14:textId="7994FF75" w:rsidR="00A13ACF" w:rsidRPr="00DC331F" w:rsidRDefault="009F51C6">
      <w:pPr>
        <w:spacing w:after="120"/>
        <w:rPr>
          <w:rFonts w:ascii="Georgia" w:hAnsi="Georgia"/>
          <w:sz w:val="20"/>
          <w:szCs w:val="20"/>
        </w:rPr>
      </w:pPr>
      <w:r w:rsidRPr="00DC331F">
        <w:rPr>
          <w:rFonts w:ascii="Georgia" w:hAnsi="Georgia"/>
          <w:sz w:val="20"/>
          <w:szCs w:val="20"/>
        </w:rPr>
        <w:t xml:space="preserve">US and European stock markets </w:t>
      </w:r>
      <w:r w:rsidR="00E9147C" w:rsidRPr="00DC331F">
        <w:rPr>
          <w:rFonts w:ascii="Georgia" w:hAnsi="Georgia"/>
          <w:sz w:val="20"/>
          <w:szCs w:val="20"/>
        </w:rPr>
        <w:t xml:space="preserve">fluctuated </w:t>
      </w:r>
      <w:r w:rsidRPr="00DC331F">
        <w:rPr>
          <w:rFonts w:ascii="Georgia" w:hAnsi="Georgia"/>
          <w:sz w:val="20"/>
          <w:szCs w:val="20"/>
        </w:rPr>
        <w:t xml:space="preserve">during the month as investor concerns </w:t>
      </w:r>
      <w:r w:rsidR="00E9147C" w:rsidRPr="00DC331F">
        <w:rPr>
          <w:rFonts w:ascii="Georgia" w:hAnsi="Georgia"/>
          <w:sz w:val="20"/>
          <w:szCs w:val="20"/>
        </w:rPr>
        <w:t xml:space="preserve">once again revolved around central banks and </w:t>
      </w:r>
      <w:r w:rsidR="00852753" w:rsidRPr="00DC331F">
        <w:rPr>
          <w:rFonts w:ascii="Georgia" w:hAnsi="Georgia"/>
          <w:sz w:val="20"/>
          <w:szCs w:val="20"/>
        </w:rPr>
        <w:t>their</w:t>
      </w:r>
      <w:r w:rsidR="00E9147C" w:rsidRPr="00DC331F">
        <w:rPr>
          <w:rFonts w:ascii="Georgia" w:hAnsi="Georgia"/>
          <w:sz w:val="20"/>
          <w:szCs w:val="20"/>
        </w:rPr>
        <w:t xml:space="preserve"> </w:t>
      </w:r>
      <w:r w:rsidR="00264B06" w:rsidRPr="00DC331F">
        <w:rPr>
          <w:rFonts w:ascii="Georgia" w:hAnsi="Georgia"/>
          <w:sz w:val="20"/>
          <w:szCs w:val="20"/>
        </w:rPr>
        <w:t>measures</w:t>
      </w:r>
      <w:r w:rsidR="00E9147C" w:rsidRPr="00DC331F">
        <w:rPr>
          <w:rFonts w:ascii="Georgia" w:hAnsi="Georgia"/>
          <w:sz w:val="20"/>
          <w:szCs w:val="20"/>
        </w:rPr>
        <w:t xml:space="preserve"> to tame rising inflation</w:t>
      </w:r>
      <w:r w:rsidR="00A85472" w:rsidRPr="00DC331F">
        <w:rPr>
          <w:rFonts w:ascii="Georgia" w:hAnsi="Georgia"/>
          <w:sz w:val="20"/>
          <w:szCs w:val="20"/>
        </w:rPr>
        <w:t xml:space="preserve"> by increasing interest rates</w:t>
      </w:r>
      <w:r w:rsidR="00E9147C" w:rsidRPr="00DC331F">
        <w:rPr>
          <w:rFonts w:ascii="Georgia" w:hAnsi="Georgia"/>
          <w:sz w:val="20"/>
          <w:szCs w:val="20"/>
        </w:rPr>
        <w:t xml:space="preserve">. </w:t>
      </w:r>
      <w:r w:rsidR="002241C2">
        <w:rPr>
          <w:rFonts w:ascii="Georgia" w:hAnsi="Georgia"/>
          <w:sz w:val="20"/>
          <w:szCs w:val="20"/>
        </w:rPr>
        <w:t xml:space="preserve">The US </w:t>
      </w:r>
      <w:r w:rsidR="00983FD4" w:rsidRPr="00DC331F">
        <w:rPr>
          <w:rFonts w:ascii="Georgia" w:hAnsi="Georgia"/>
          <w:sz w:val="20"/>
          <w:szCs w:val="20"/>
        </w:rPr>
        <w:t>Federal Reserve</w:t>
      </w:r>
      <w:r w:rsidR="002241C2">
        <w:rPr>
          <w:rFonts w:ascii="Georgia" w:hAnsi="Georgia"/>
          <w:sz w:val="20"/>
          <w:szCs w:val="20"/>
        </w:rPr>
        <w:t xml:space="preserve"> </w:t>
      </w:r>
      <w:r w:rsidR="00983FD4" w:rsidRPr="00DC331F">
        <w:rPr>
          <w:rFonts w:ascii="Georgia" w:hAnsi="Georgia"/>
          <w:sz w:val="20"/>
          <w:szCs w:val="20"/>
        </w:rPr>
        <w:t xml:space="preserve">Chair Jerome Powell stated that a 0.5% rise </w:t>
      </w:r>
      <w:r w:rsidR="00A85472" w:rsidRPr="00DC331F">
        <w:rPr>
          <w:rFonts w:ascii="Georgia" w:hAnsi="Georgia"/>
          <w:sz w:val="20"/>
          <w:szCs w:val="20"/>
        </w:rPr>
        <w:t>i</w:t>
      </w:r>
      <w:r w:rsidR="00983FD4" w:rsidRPr="00DC331F">
        <w:rPr>
          <w:rFonts w:ascii="Georgia" w:hAnsi="Georgia"/>
          <w:sz w:val="20"/>
          <w:szCs w:val="20"/>
        </w:rPr>
        <w:t>s likely</w:t>
      </w:r>
      <w:r w:rsidR="00A85472" w:rsidRPr="00DC331F">
        <w:rPr>
          <w:rFonts w:ascii="Georgia" w:hAnsi="Georgia"/>
          <w:sz w:val="20"/>
          <w:szCs w:val="20"/>
        </w:rPr>
        <w:t xml:space="preserve"> at its next meeting</w:t>
      </w:r>
      <w:r w:rsidR="00983FD4" w:rsidRPr="00DC331F">
        <w:rPr>
          <w:rFonts w:ascii="Georgia" w:hAnsi="Georgia"/>
          <w:sz w:val="20"/>
          <w:szCs w:val="20"/>
        </w:rPr>
        <w:t xml:space="preserve"> in </w:t>
      </w:r>
      <w:r w:rsidR="007C5299" w:rsidRPr="00DC331F">
        <w:rPr>
          <w:rFonts w:ascii="Georgia" w:hAnsi="Georgia"/>
          <w:sz w:val="20"/>
          <w:szCs w:val="20"/>
        </w:rPr>
        <w:t>May and</w:t>
      </w:r>
      <w:r w:rsidR="00A85472" w:rsidRPr="00DC331F">
        <w:rPr>
          <w:rFonts w:ascii="Georgia" w:hAnsi="Georgia"/>
          <w:sz w:val="20"/>
          <w:szCs w:val="20"/>
        </w:rPr>
        <w:t xml:space="preserve"> </w:t>
      </w:r>
      <w:r w:rsidR="00C672A6" w:rsidRPr="00DC331F">
        <w:rPr>
          <w:rFonts w:ascii="Georgia" w:hAnsi="Georgia"/>
          <w:sz w:val="20"/>
          <w:szCs w:val="20"/>
        </w:rPr>
        <w:t xml:space="preserve">revealed plans to </w:t>
      </w:r>
      <w:r w:rsidRPr="00DC331F">
        <w:rPr>
          <w:rFonts w:ascii="Georgia" w:hAnsi="Georgia"/>
          <w:sz w:val="20"/>
          <w:szCs w:val="20"/>
        </w:rPr>
        <w:t>shrink its $9</w:t>
      </w:r>
      <w:r w:rsidR="00A85472" w:rsidRPr="00DC331F">
        <w:rPr>
          <w:rFonts w:ascii="Georgia" w:hAnsi="Georgia"/>
          <w:sz w:val="20"/>
          <w:szCs w:val="20"/>
        </w:rPr>
        <w:t xml:space="preserve"> trillion</w:t>
      </w:r>
      <w:r w:rsidRPr="00DC331F">
        <w:rPr>
          <w:rFonts w:ascii="Georgia" w:hAnsi="Georgia"/>
          <w:sz w:val="20"/>
          <w:szCs w:val="20"/>
        </w:rPr>
        <w:t xml:space="preserve"> balance sheet</w:t>
      </w:r>
      <w:r w:rsidR="00A85472" w:rsidRPr="00DC331F">
        <w:rPr>
          <w:rFonts w:ascii="Georgia" w:hAnsi="Georgia"/>
          <w:sz w:val="20"/>
          <w:szCs w:val="20"/>
        </w:rPr>
        <w:t xml:space="preserve"> by unwinding its quantitative easing measures.</w:t>
      </w:r>
    </w:p>
    <w:p w14:paraId="1D87A014" w14:textId="77777777" w:rsidR="00DC331F" w:rsidRPr="00DC331F" w:rsidRDefault="00DC331F" w:rsidP="00A85472">
      <w:pPr>
        <w:pStyle w:val="dcr-1wj398p"/>
        <w:spacing w:before="0" w:beforeAutospacing="0" w:after="120" w:afterAutospacing="0"/>
        <w:textAlignment w:val="baseline"/>
        <w:rPr>
          <w:rFonts w:ascii="Georgia" w:hAnsi="Georgia"/>
          <w:b/>
          <w:bCs/>
          <w:sz w:val="20"/>
          <w:szCs w:val="20"/>
        </w:rPr>
      </w:pPr>
    </w:p>
    <w:p w14:paraId="4FA273E4" w14:textId="5F857287" w:rsidR="004815D8" w:rsidRPr="00DC331F" w:rsidRDefault="00BE42A0" w:rsidP="00A85472">
      <w:pPr>
        <w:pStyle w:val="dcr-1wj398p"/>
        <w:spacing w:before="0" w:beforeAutospacing="0" w:after="120" w:afterAutospacing="0"/>
        <w:textAlignment w:val="baseline"/>
        <w:rPr>
          <w:rFonts w:ascii="Georgia" w:hAnsi="Georgia"/>
          <w:b/>
          <w:bCs/>
          <w:sz w:val="20"/>
          <w:szCs w:val="20"/>
        </w:rPr>
      </w:pPr>
      <w:r w:rsidRPr="00DC331F">
        <w:rPr>
          <w:rFonts w:ascii="Georgia" w:hAnsi="Georgia"/>
          <w:b/>
          <w:bCs/>
          <w:sz w:val="20"/>
          <w:szCs w:val="20"/>
        </w:rPr>
        <w:t xml:space="preserve">Lockdowns </w:t>
      </w:r>
      <w:r w:rsidR="00357537" w:rsidRPr="00DC331F">
        <w:rPr>
          <w:rFonts w:ascii="Georgia" w:hAnsi="Georgia"/>
          <w:b/>
          <w:bCs/>
          <w:sz w:val="20"/>
          <w:szCs w:val="20"/>
        </w:rPr>
        <w:t xml:space="preserve">in China </w:t>
      </w:r>
      <w:r w:rsidR="004815D8" w:rsidRPr="00DC331F">
        <w:rPr>
          <w:rFonts w:ascii="Georgia" w:hAnsi="Georgia"/>
          <w:b/>
          <w:bCs/>
          <w:sz w:val="20"/>
          <w:szCs w:val="20"/>
        </w:rPr>
        <w:t>disrupt markets</w:t>
      </w:r>
      <w:r w:rsidR="002752DF" w:rsidRPr="00DC331F">
        <w:rPr>
          <w:rFonts w:ascii="Georgia" w:hAnsi="Georgia"/>
          <w:b/>
          <w:bCs/>
          <w:sz w:val="20"/>
          <w:szCs w:val="20"/>
        </w:rPr>
        <w:t xml:space="preserve"> </w:t>
      </w:r>
    </w:p>
    <w:p w14:paraId="76556F11" w14:textId="77777777" w:rsidR="00BE42A0" w:rsidRPr="00DC331F" w:rsidRDefault="00A10A95" w:rsidP="00A85472">
      <w:pPr>
        <w:pStyle w:val="dcr-1wj398p"/>
        <w:spacing w:before="0" w:beforeAutospacing="0" w:after="120" w:afterAutospacing="0"/>
        <w:textAlignment w:val="baseline"/>
        <w:rPr>
          <w:rFonts w:ascii="Georgia" w:hAnsi="Georgia"/>
          <w:sz w:val="20"/>
          <w:szCs w:val="20"/>
        </w:rPr>
      </w:pPr>
      <w:r w:rsidRPr="00DC331F">
        <w:rPr>
          <w:rFonts w:ascii="Georgia" w:hAnsi="Georgia"/>
          <w:sz w:val="20"/>
          <w:szCs w:val="20"/>
        </w:rPr>
        <w:t xml:space="preserve">Chinese tech stocks </w:t>
      </w:r>
      <w:r w:rsidR="00A56272" w:rsidRPr="00DC331F">
        <w:rPr>
          <w:rFonts w:ascii="Georgia" w:hAnsi="Georgia"/>
          <w:sz w:val="20"/>
          <w:szCs w:val="20"/>
        </w:rPr>
        <w:t xml:space="preserve">fell during April </w:t>
      </w:r>
      <w:r w:rsidR="00B31393" w:rsidRPr="00DC331F">
        <w:rPr>
          <w:rFonts w:ascii="Georgia" w:hAnsi="Georgia"/>
          <w:sz w:val="20"/>
          <w:szCs w:val="20"/>
        </w:rPr>
        <w:t xml:space="preserve">after the </w:t>
      </w:r>
      <w:r w:rsidRPr="00DC331F">
        <w:rPr>
          <w:rFonts w:ascii="Georgia" w:hAnsi="Georgia"/>
          <w:sz w:val="20"/>
          <w:szCs w:val="20"/>
        </w:rPr>
        <w:t>news that Beijing had tightened regulations on the country’s live streaming industry</w:t>
      </w:r>
      <w:r w:rsidR="00F4786C" w:rsidRPr="00DC331F">
        <w:rPr>
          <w:rFonts w:ascii="Georgia" w:hAnsi="Georgia"/>
          <w:sz w:val="20"/>
          <w:szCs w:val="20"/>
        </w:rPr>
        <w:t xml:space="preserve"> – a </w:t>
      </w:r>
      <w:r w:rsidR="00B31393" w:rsidRPr="00DC331F">
        <w:rPr>
          <w:rFonts w:ascii="Georgia" w:hAnsi="Georgia"/>
          <w:sz w:val="20"/>
          <w:szCs w:val="20"/>
        </w:rPr>
        <w:t xml:space="preserve">move that </w:t>
      </w:r>
      <w:r w:rsidR="00A56272" w:rsidRPr="00DC331F">
        <w:rPr>
          <w:rFonts w:ascii="Georgia" w:hAnsi="Georgia"/>
          <w:sz w:val="20"/>
          <w:szCs w:val="20"/>
        </w:rPr>
        <w:t>added to broader worries</w:t>
      </w:r>
      <w:r w:rsidR="002B75C5" w:rsidRPr="00DC331F">
        <w:rPr>
          <w:rFonts w:ascii="Georgia" w:hAnsi="Georgia"/>
          <w:sz w:val="20"/>
          <w:szCs w:val="20"/>
        </w:rPr>
        <w:t xml:space="preserve"> around </w:t>
      </w:r>
      <w:r w:rsidRPr="00DC331F">
        <w:rPr>
          <w:rFonts w:ascii="Georgia" w:hAnsi="Georgia"/>
          <w:sz w:val="20"/>
          <w:szCs w:val="20"/>
        </w:rPr>
        <w:t>global growth</w:t>
      </w:r>
      <w:r w:rsidR="00E959BC" w:rsidRPr="00DC331F">
        <w:rPr>
          <w:rFonts w:ascii="Georgia" w:hAnsi="Georgia"/>
          <w:sz w:val="20"/>
          <w:szCs w:val="20"/>
        </w:rPr>
        <w:t xml:space="preserve">, </w:t>
      </w:r>
      <w:r w:rsidR="00D8104C" w:rsidRPr="00DC331F">
        <w:rPr>
          <w:rFonts w:ascii="Georgia" w:hAnsi="Georgia"/>
          <w:sz w:val="20"/>
          <w:szCs w:val="20"/>
        </w:rPr>
        <w:t>China’s Covid-19 lockdowns</w:t>
      </w:r>
      <w:r w:rsidR="00C77D56" w:rsidRPr="00DC331F">
        <w:rPr>
          <w:rFonts w:ascii="Georgia" w:hAnsi="Georgia"/>
          <w:sz w:val="20"/>
          <w:szCs w:val="20"/>
        </w:rPr>
        <w:t xml:space="preserve"> and supply </w:t>
      </w:r>
      <w:r w:rsidR="00CE6460" w:rsidRPr="00DC331F">
        <w:rPr>
          <w:rFonts w:ascii="Georgia" w:hAnsi="Georgia"/>
          <w:sz w:val="20"/>
          <w:szCs w:val="20"/>
        </w:rPr>
        <w:t xml:space="preserve">chain </w:t>
      </w:r>
      <w:r w:rsidR="00C77D56" w:rsidRPr="00DC331F">
        <w:rPr>
          <w:rFonts w:ascii="Georgia" w:hAnsi="Georgia"/>
          <w:sz w:val="20"/>
          <w:szCs w:val="20"/>
        </w:rPr>
        <w:t>disruptions.</w:t>
      </w:r>
      <w:r w:rsidR="00F043D0" w:rsidRPr="00DC331F">
        <w:rPr>
          <w:rFonts w:ascii="Georgia" w:hAnsi="Georgia"/>
          <w:sz w:val="20"/>
          <w:szCs w:val="20"/>
        </w:rPr>
        <w:t xml:space="preserve"> </w:t>
      </w:r>
    </w:p>
    <w:p w14:paraId="0DF8A7CD" w14:textId="04F0DD4D" w:rsidR="00A56272" w:rsidRPr="00DC331F" w:rsidRDefault="00BE42A0" w:rsidP="00A85472">
      <w:pPr>
        <w:pStyle w:val="dcr-1wj398p"/>
        <w:spacing w:before="0" w:beforeAutospacing="0" w:after="120" w:afterAutospacing="0"/>
        <w:textAlignment w:val="baseline"/>
        <w:rPr>
          <w:rFonts w:ascii="Georgia" w:hAnsi="Georgia"/>
          <w:sz w:val="20"/>
          <w:szCs w:val="20"/>
        </w:rPr>
      </w:pPr>
      <w:r w:rsidRPr="00DC331F">
        <w:rPr>
          <w:rFonts w:ascii="Georgia" w:hAnsi="Georgia"/>
          <w:sz w:val="20"/>
          <w:szCs w:val="20"/>
        </w:rPr>
        <w:t>T</w:t>
      </w:r>
      <w:r w:rsidR="00F043D0" w:rsidRPr="00DC331F">
        <w:rPr>
          <w:rFonts w:ascii="Georgia" w:hAnsi="Georgia"/>
          <w:sz w:val="20"/>
          <w:szCs w:val="20"/>
        </w:rPr>
        <w:t>he CSI (China’s benchmark stock index) suffered its worst trading day in late April since February 2020</w:t>
      </w:r>
      <w:r w:rsidR="00BC638F" w:rsidRPr="00DC331F">
        <w:rPr>
          <w:rFonts w:ascii="Georgia" w:hAnsi="Georgia"/>
          <w:sz w:val="20"/>
          <w:szCs w:val="20"/>
        </w:rPr>
        <w:t>, amid the lockdown fears</w:t>
      </w:r>
      <w:r w:rsidR="000C1208" w:rsidRPr="00DC331F">
        <w:rPr>
          <w:rFonts w:ascii="Georgia" w:hAnsi="Georgia"/>
          <w:sz w:val="20"/>
          <w:szCs w:val="20"/>
        </w:rPr>
        <w:t xml:space="preserve"> in China</w:t>
      </w:r>
      <w:r w:rsidR="00BC638F" w:rsidRPr="00DC331F">
        <w:rPr>
          <w:rFonts w:ascii="Georgia" w:hAnsi="Georgia"/>
          <w:sz w:val="20"/>
          <w:szCs w:val="20"/>
        </w:rPr>
        <w:t xml:space="preserve"> and concerns about the global economy. </w:t>
      </w:r>
      <w:r w:rsidR="00B50C3B" w:rsidRPr="00DC331F">
        <w:rPr>
          <w:rFonts w:ascii="Georgia" w:hAnsi="Georgia"/>
          <w:sz w:val="20"/>
          <w:szCs w:val="20"/>
        </w:rPr>
        <w:t xml:space="preserve">This </w:t>
      </w:r>
      <w:r w:rsidR="00DC331F">
        <w:rPr>
          <w:rFonts w:ascii="Georgia" w:hAnsi="Georgia"/>
          <w:sz w:val="20"/>
          <w:szCs w:val="20"/>
        </w:rPr>
        <w:t xml:space="preserve">fall </w:t>
      </w:r>
      <w:r w:rsidR="00B50C3B" w:rsidRPr="00DC331F">
        <w:rPr>
          <w:rFonts w:ascii="Georgia" w:hAnsi="Georgia"/>
          <w:sz w:val="20"/>
          <w:szCs w:val="20"/>
        </w:rPr>
        <w:t xml:space="preserve">affected </w:t>
      </w:r>
      <w:r w:rsidR="0013679F" w:rsidRPr="00DC331F">
        <w:rPr>
          <w:rFonts w:ascii="Georgia" w:hAnsi="Georgia"/>
          <w:sz w:val="20"/>
          <w:szCs w:val="20"/>
        </w:rPr>
        <w:t xml:space="preserve">other </w:t>
      </w:r>
      <w:r w:rsidR="00DC331F">
        <w:rPr>
          <w:rFonts w:ascii="Georgia" w:hAnsi="Georgia"/>
          <w:sz w:val="20"/>
          <w:szCs w:val="20"/>
        </w:rPr>
        <w:t xml:space="preserve">leading stock market </w:t>
      </w:r>
      <w:r w:rsidR="0013679F" w:rsidRPr="00DC331F">
        <w:rPr>
          <w:rFonts w:ascii="Georgia" w:hAnsi="Georgia"/>
          <w:sz w:val="20"/>
          <w:szCs w:val="20"/>
        </w:rPr>
        <w:t xml:space="preserve">indices, </w:t>
      </w:r>
      <w:r w:rsidR="00DC331F">
        <w:rPr>
          <w:rFonts w:ascii="Georgia" w:hAnsi="Georgia"/>
          <w:sz w:val="20"/>
          <w:szCs w:val="20"/>
        </w:rPr>
        <w:t>which</w:t>
      </w:r>
      <w:r w:rsidR="00B50C3B" w:rsidRPr="00DC331F">
        <w:rPr>
          <w:rFonts w:ascii="Georgia" w:hAnsi="Georgia"/>
          <w:sz w:val="20"/>
          <w:szCs w:val="20"/>
        </w:rPr>
        <w:t xml:space="preserve"> suffer</w:t>
      </w:r>
      <w:r w:rsidR="00DC331F">
        <w:rPr>
          <w:rFonts w:ascii="Georgia" w:hAnsi="Georgia"/>
          <w:sz w:val="20"/>
          <w:szCs w:val="20"/>
        </w:rPr>
        <w:t>ed</w:t>
      </w:r>
      <w:r w:rsidR="00B50C3B" w:rsidRPr="00DC331F">
        <w:rPr>
          <w:rFonts w:ascii="Georgia" w:hAnsi="Georgia"/>
          <w:sz w:val="20"/>
          <w:szCs w:val="20"/>
        </w:rPr>
        <w:t xml:space="preserve"> a drop </w:t>
      </w:r>
      <w:r w:rsidR="003506CA" w:rsidRPr="00DC331F">
        <w:rPr>
          <w:rFonts w:ascii="Georgia" w:hAnsi="Georgia"/>
          <w:sz w:val="20"/>
          <w:szCs w:val="20"/>
        </w:rPr>
        <w:t>in reaction to China</w:t>
      </w:r>
      <w:r w:rsidR="00DC331F">
        <w:rPr>
          <w:rFonts w:ascii="Georgia" w:hAnsi="Georgia"/>
          <w:sz w:val="20"/>
          <w:szCs w:val="20"/>
        </w:rPr>
        <w:t>’s</w:t>
      </w:r>
      <w:r w:rsidR="003506CA" w:rsidRPr="00DC331F">
        <w:rPr>
          <w:rFonts w:ascii="Georgia" w:hAnsi="Georgia"/>
          <w:sz w:val="20"/>
          <w:szCs w:val="20"/>
        </w:rPr>
        <w:t xml:space="preserve"> slowdown. </w:t>
      </w:r>
    </w:p>
    <w:p w14:paraId="7F07F622" w14:textId="57E2EAEC" w:rsidR="00DC331F" w:rsidRDefault="006105F1" w:rsidP="00A85472">
      <w:pPr>
        <w:pStyle w:val="dcr-1wj398p"/>
        <w:spacing w:before="0" w:beforeAutospacing="0" w:after="120" w:afterAutospacing="0"/>
        <w:textAlignment w:val="baseline"/>
        <w:rPr>
          <w:rFonts w:ascii="Georgia" w:hAnsi="Georgia"/>
          <w:sz w:val="20"/>
          <w:szCs w:val="20"/>
        </w:rPr>
      </w:pPr>
      <w:r w:rsidRPr="00DC331F">
        <w:rPr>
          <w:rFonts w:ascii="Georgia" w:hAnsi="Georgia"/>
          <w:sz w:val="20"/>
          <w:szCs w:val="20"/>
        </w:rPr>
        <w:t xml:space="preserve">The uncertainty surrounding the </w:t>
      </w:r>
      <w:r w:rsidR="00DC331F">
        <w:rPr>
          <w:rFonts w:ascii="Georgia" w:hAnsi="Georgia"/>
          <w:sz w:val="20"/>
          <w:szCs w:val="20"/>
        </w:rPr>
        <w:t>reduction</w:t>
      </w:r>
      <w:r w:rsidR="00DC331F" w:rsidRPr="00DC331F">
        <w:rPr>
          <w:rFonts w:ascii="Georgia" w:hAnsi="Georgia"/>
          <w:sz w:val="20"/>
          <w:szCs w:val="20"/>
        </w:rPr>
        <w:t xml:space="preserve"> </w:t>
      </w:r>
      <w:r w:rsidR="00CC2CAC" w:rsidRPr="00DC331F">
        <w:rPr>
          <w:rFonts w:ascii="Georgia" w:hAnsi="Georgia"/>
          <w:sz w:val="20"/>
          <w:szCs w:val="20"/>
        </w:rPr>
        <w:t xml:space="preserve">in subscribers to several streaming and online engagement platforms also continued into April, which affected </w:t>
      </w:r>
      <w:r w:rsidR="00DC331F">
        <w:rPr>
          <w:rFonts w:ascii="Georgia" w:hAnsi="Georgia"/>
          <w:sz w:val="20"/>
          <w:szCs w:val="20"/>
        </w:rPr>
        <w:t>the share price</w:t>
      </w:r>
      <w:r w:rsidR="00DC331F" w:rsidRPr="00DC331F">
        <w:rPr>
          <w:rFonts w:ascii="Georgia" w:hAnsi="Georgia"/>
          <w:sz w:val="20"/>
          <w:szCs w:val="20"/>
        </w:rPr>
        <w:t xml:space="preserve"> </w:t>
      </w:r>
      <w:r w:rsidR="00DC331F">
        <w:rPr>
          <w:rFonts w:ascii="Georgia" w:hAnsi="Georgia"/>
          <w:sz w:val="20"/>
          <w:szCs w:val="20"/>
        </w:rPr>
        <w:t>of some large, global technology and entertainment companies.</w:t>
      </w:r>
    </w:p>
    <w:p w14:paraId="639F6C6E" w14:textId="45996196" w:rsidR="0018356D" w:rsidRPr="00DC331F" w:rsidRDefault="0018356D" w:rsidP="00A85472">
      <w:pPr>
        <w:pStyle w:val="dcr-1wj398p"/>
        <w:spacing w:before="0" w:beforeAutospacing="0" w:after="120" w:afterAutospacing="0"/>
        <w:textAlignment w:val="baseline"/>
        <w:rPr>
          <w:rFonts w:ascii="Georgia" w:hAnsi="Georgia"/>
          <w:sz w:val="20"/>
          <w:szCs w:val="20"/>
        </w:rPr>
      </w:pPr>
    </w:p>
    <w:p w14:paraId="63229DCA" w14:textId="77777777" w:rsidR="00357537" w:rsidRPr="00DC331F" w:rsidRDefault="00357537" w:rsidP="00357537">
      <w:pPr>
        <w:spacing w:after="120"/>
        <w:rPr>
          <w:rFonts w:ascii="Georgia" w:hAnsi="Georgia"/>
          <w:b/>
          <w:bCs/>
          <w:sz w:val="20"/>
          <w:szCs w:val="20"/>
        </w:rPr>
      </w:pPr>
      <w:r w:rsidRPr="00DC331F">
        <w:rPr>
          <w:rFonts w:ascii="Georgia" w:hAnsi="Georgia"/>
          <w:b/>
          <w:bCs/>
          <w:sz w:val="20"/>
          <w:szCs w:val="20"/>
        </w:rPr>
        <w:t>UK economic slowdown</w:t>
      </w:r>
    </w:p>
    <w:p w14:paraId="420C33D6" w14:textId="77777777" w:rsidR="00357537" w:rsidRPr="00DC331F" w:rsidRDefault="00357537" w:rsidP="00357537">
      <w:pPr>
        <w:pStyle w:val="dcr-xry7m2"/>
        <w:spacing w:before="0" w:beforeAutospacing="0" w:after="120" w:afterAutospacing="0"/>
        <w:textAlignment w:val="baseline"/>
        <w:rPr>
          <w:rFonts w:ascii="Georgia" w:hAnsi="Georgia"/>
          <w:color w:val="121212"/>
          <w:sz w:val="20"/>
          <w:szCs w:val="20"/>
        </w:rPr>
      </w:pPr>
      <w:r w:rsidRPr="00DC331F">
        <w:rPr>
          <w:rFonts w:ascii="Georgia" w:hAnsi="Georgia"/>
          <w:color w:val="121212"/>
          <w:sz w:val="20"/>
          <w:szCs w:val="20"/>
        </w:rPr>
        <w:t xml:space="preserve">Although the UK’s economic growth is expected to match that of the US for the remainder of 2022, the IMF believes in 2023 it will fall to the bottom when compared to other G7 countries. The UK’s inflation rate rose to 6.2% in March, and experts believe the economy could fall into a summer recession given the effect of the slowing growth, rise in living costs and squeeze on household incomes. </w:t>
      </w:r>
    </w:p>
    <w:p w14:paraId="45A91200" w14:textId="77777777" w:rsidR="00B36A18" w:rsidRPr="00B36A18" w:rsidRDefault="00F42665" w:rsidP="00B36A18">
      <w:pPr>
        <w:rPr>
          <w:rFonts w:ascii="Times New Roman" w:eastAsia="Times New Roman" w:hAnsi="Times New Roman" w:cs="Times New Roman"/>
          <w:lang w:eastAsia="en-GB"/>
        </w:rPr>
      </w:pPr>
      <w:r w:rsidRPr="00DC331F">
        <w:rPr>
          <w:rFonts w:ascii="Georgia" w:hAnsi="Georgia"/>
          <w:sz w:val="20"/>
          <w:szCs w:val="20"/>
        </w:rPr>
        <w:t xml:space="preserve">However, there was better news for the UK stock market – and the FTSE 100 in particular – which has outpaced other regions so far this year. The index has been lifted </w:t>
      </w:r>
      <w:r>
        <w:rPr>
          <w:rFonts w:ascii="Georgia" w:hAnsi="Georgia"/>
          <w:sz w:val="20"/>
          <w:szCs w:val="20"/>
        </w:rPr>
        <w:t xml:space="preserve">in particular by its </w:t>
      </w:r>
      <w:r w:rsidRPr="00DC331F">
        <w:rPr>
          <w:rFonts w:ascii="Georgia" w:hAnsi="Georgia"/>
          <w:sz w:val="20"/>
          <w:szCs w:val="20"/>
        </w:rPr>
        <w:t>exposure to energy companies and banks that have gained from surging oil prices and rising interest rates.</w:t>
      </w:r>
      <w:r>
        <w:rPr>
          <w:rFonts w:ascii="Georgia" w:hAnsi="Georgia"/>
          <w:sz w:val="20"/>
          <w:szCs w:val="20"/>
        </w:rPr>
        <w:t xml:space="preserve"> It is however worth noting that only 34 companies within the FTSE 100 have delivered positive returns this year.</w:t>
      </w:r>
      <w:r w:rsidR="00B36A18">
        <w:rPr>
          <w:rFonts w:ascii="Georgia" w:hAnsi="Georgia"/>
          <w:sz w:val="20"/>
          <w:szCs w:val="20"/>
        </w:rPr>
        <w:t xml:space="preserve"> </w:t>
      </w:r>
      <w:r w:rsidR="00B36A18" w:rsidRPr="00B36A18">
        <w:rPr>
          <w:rFonts w:ascii="Georgia" w:eastAsia="Times New Roman" w:hAnsi="Georgia" w:cs="Times New Roman"/>
          <w:color w:val="202124"/>
          <w:sz w:val="20"/>
          <w:szCs w:val="20"/>
          <w:lang w:eastAsia="en-GB"/>
        </w:rPr>
        <w:t>Although financial markets have been volatile so far this year, history shows that staying invested through these challenging periods rewards long-term investors.</w:t>
      </w:r>
    </w:p>
    <w:p w14:paraId="0BD0C502" w14:textId="22B8E667" w:rsidR="00357537" w:rsidRDefault="00B36A18" w:rsidP="00357537">
      <w:pPr>
        <w:pStyle w:val="dcr-1wj398p"/>
        <w:spacing w:before="0" w:beforeAutospacing="0" w:after="120" w:afterAutospacing="0"/>
        <w:textAlignment w:val="baseline"/>
        <w:rPr>
          <w:rFonts w:ascii="Georgia" w:hAnsi="Georgia"/>
          <w:sz w:val="20"/>
          <w:szCs w:val="20"/>
        </w:rPr>
      </w:pPr>
      <w:r>
        <w:rPr>
          <w:rFonts w:ascii="Georgia" w:hAnsi="Georgia"/>
          <w:sz w:val="20"/>
          <w:szCs w:val="20"/>
        </w:rPr>
        <w:br/>
      </w:r>
      <w:r w:rsidR="00357537" w:rsidRPr="00DC331F">
        <w:rPr>
          <w:rFonts w:ascii="Georgia" w:hAnsi="Georgia"/>
          <w:sz w:val="20"/>
          <w:szCs w:val="20"/>
        </w:rPr>
        <w:t>In the eurozone, inflation is likely to remain high over the coming months due to rising energy costs. The European Central Bank left interest rates unchanged after its latest meeting and also acknowledged that risks to economic growth have increased due largely to the war in Ukraine.</w:t>
      </w:r>
    </w:p>
    <w:p w14:paraId="4BAF64C0" w14:textId="77777777" w:rsidR="00B36A18" w:rsidRPr="00DC331F" w:rsidRDefault="00B36A18" w:rsidP="00357537">
      <w:pPr>
        <w:pStyle w:val="dcr-1wj398p"/>
        <w:spacing w:before="0" w:beforeAutospacing="0" w:after="120" w:afterAutospacing="0"/>
        <w:textAlignment w:val="baseline"/>
        <w:rPr>
          <w:rFonts w:ascii="Georgia" w:hAnsi="Georgia"/>
          <w:sz w:val="20"/>
          <w:szCs w:val="20"/>
        </w:rPr>
      </w:pPr>
    </w:p>
    <w:p w14:paraId="218E6CB1" w14:textId="4800F9AD" w:rsidR="004A423F" w:rsidRDefault="004A423F" w:rsidP="00A85472">
      <w:pPr>
        <w:spacing w:after="120"/>
        <w:rPr>
          <w:rFonts w:ascii="Georgia" w:hAnsi="Georgia"/>
          <w:b/>
          <w:bCs/>
          <w:sz w:val="20"/>
          <w:szCs w:val="20"/>
        </w:rPr>
      </w:pPr>
    </w:p>
    <w:p w14:paraId="68773012" w14:textId="77777777" w:rsidR="001D50AA" w:rsidRPr="00DC331F" w:rsidRDefault="001D50AA" w:rsidP="00A85472">
      <w:pPr>
        <w:spacing w:after="120"/>
        <w:rPr>
          <w:rFonts w:ascii="Georgia" w:hAnsi="Georgia"/>
          <w:b/>
          <w:bCs/>
          <w:sz w:val="20"/>
          <w:szCs w:val="20"/>
        </w:rPr>
      </w:pPr>
    </w:p>
    <w:p w14:paraId="6488305D" w14:textId="7714DC7B" w:rsidR="005946E1" w:rsidRPr="00DC331F" w:rsidRDefault="005946E1" w:rsidP="00A85472">
      <w:pPr>
        <w:spacing w:after="120"/>
        <w:rPr>
          <w:rFonts w:ascii="Georgia" w:hAnsi="Georgia"/>
          <w:b/>
          <w:bCs/>
          <w:sz w:val="20"/>
          <w:szCs w:val="20"/>
        </w:rPr>
      </w:pPr>
      <w:r w:rsidRPr="00DC331F">
        <w:rPr>
          <w:rFonts w:ascii="Georgia" w:hAnsi="Georgia"/>
          <w:b/>
          <w:bCs/>
          <w:sz w:val="20"/>
          <w:szCs w:val="20"/>
        </w:rPr>
        <w:lastRenderedPageBreak/>
        <w:t>Key takeaways</w:t>
      </w:r>
    </w:p>
    <w:p w14:paraId="4A6203AE" w14:textId="09C3E9F8" w:rsidR="00151E42" w:rsidRPr="00DC331F" w:rsidRDefault="00151E42" w:rsidP="007E0156">
      <w:pPr>
        <w:pStyle w:val="dcr-1wj398p"/>
        <w:numPr>
          <w:ilvl w:val="0"/>
          <w:numId w:val="4"/>
        </w:numPr>
        <w:spacing w:before="0" w:beforeAutospacing="0" w:after="120" w:afterAutospacing="0"/>
        <w:textAlignment w:val="baseline"/>
        <w:rPr>
          <w:rFonts w:ascii="Georgia" w:hAnsi="Georgia"/>
          <w:sz w:val="20"/>
          <w:szCs w:val="20"/>
        </w:rPr>
      </w:pPr>
      <w:r w:rsidRPr="00DC331F">
        <w:rPr>
          <w:rFonts w:ascii="Georgia" w:hAnsi="Georgia"/>
          <w:color w:val="0D0D0D"/>
          <w:sz w:val="20"/>
          <w:szCs w:val="20"/>
        </w:rPr>
        <w:t xml:space="preserve">April brought further economic effects from the war in Ukraine, as rising inflation prompted the International Monetary Fund to cut its forecast for global economic growth for the rest of this year and in 2023. </w:t>
      </w:r>
    </w:p>
    <w:p w14:paraId="0249116E" w14:textId="7828A57F" w:rsidR="006E0A4B" w:rsidRPr="00DC331F" w:rsidRDefault="006E0A4B" w:rsidP="007E0156">
      <w:pPr>
        <w:pStyle w:val="dcr-1wj398p"/>
        <w:numPr>
          <w:ilvl w:val="0"/>
          <w:numId w:val="4"/>
        </w:numPr>
        <w:spacing w:before="0" w:beforeAutospacing="0" w:after="120" w:afterAutospacing="0"/>
        <w:textAlignment w:val="baseline"/>
        <w:rPr>
          <w:rFonts w:ascii="Georgia" w:hAnsi="Georgia"/>
          <w:sz w:val="20"/>
          <w:szCs w:val="20"/>
        </w:rPr>
      </w:pPr>
      <w:r w:rsidRPr="00DC331F">
        <w:rPr>
          <w:rFonts w:ascii="Georgia" w:hAnsi="Georgia"/>
          <w:sz w:val="20"/>
          <w:szCs w:val="20"/>
        </w:rPr>
        <w:t xml:space="preserve">China’s benchmark stock index suffered its worst trading day since February 2020, amid lockdown fears and concerns about the global economy. </w:t>
      </w:r>
    </w:p>
    <w:p w14:paraId="66F7D0D0" w14:textId="4DF31A69" w:rsidR="007E0156" w:rsidRPr="00DC331F" w:rsidRDefault="007E0156" w:rsidP="007E0156">
      <w:pPr>
        <w:pStyle w:val="dcr-1wj398p"/>
        <w:numPr>
          <w:ilvl w:val="0"/>
          <w:numId w:val="4"/>
        </w:numPr>
        <w:spacing w:before="0" w:beforeAutospacing="0" w:after="120" w:afterAutospacing="0"/>
        <w:textAlignment w:val="baseline"/>
        <w:rPr>
          <w:rFonts w:ascii="Georgia" w:hAnsi="Georgia"/>
          <w:sz w:val="20"/>
          <w:szCs w:val="20"/>
        </w:rPr>
      </w:pPr>
      <w:r w:rsidRPr="00DC331F">
        <w:rPr>
          <w:rFonts w:ascii="Georgia" w:hAnsi="Georgia"/>
          <w:sz w:val="20"/>
          <w:szCs w:val="20"/>
        </w:rPr>
        <w:t xml:space="preserve">A drop in subscribers to several streaming and online engagement platforms continued into April, </w:t>
      </w:r>
      <w:r w:rsidR="00917ED5" w:rsidRPr="00DC331F">
        <w:rPr>
          <w:rFonts w:ascii="Georgia" w:hAnsi="Georgia"/>
          <w:sz w:val="20"/>
          <w:szCs w:val="20"/>
        </w:rPr>
        <w:t>affecting the</w:t>
      </w:r>
      <w:r w:rsidRPr="00DC331F">
        <w:rPr>
          <w:rFonts w:ascii="Georgia" w:hAnsi="Georgia"/>
          <w:sz w:val="20"/>
          <w:szCs w:val="20"/>
        </w:rPr>
        <w:t xml:space="preserve"> market value for some </w:t>
      </w:r>
      <w:r w:rsidR="00917ED5" w:rsidRPr="00DC331F">
        <w:rPr>
          <w:rFonts w:ascii="Georgia" w:hAnsi="Georgia"/>
          <w:sz w:val="20"/>
          <w:szCs w:val="20"/>
        </w:rPr>
        <w:t xml:space="preserve">companies. </w:t>
      </w:r>
      <w:r w:rsidRPr="00DC331F">
        <w:rPr>
          <w:rFonts w:ascii="Georgia" w:hAnsi="Georgia"/>
          <w:sz w:val="20"/>
          <w:szCs w:val="20"/>
        </w:rPr>
        <w:t xml:space="preserve"> </w:t>
      </w:r>
    </w:p>
    <w:p w14:paraId="0F3D06B2" w14:textId="77777777" w:rsidR="005946E1" w:rsidRPr="00DC331F" w:rsidRDefault="005946E1" w:rsidP="00A85472">
      <w:pPr>
        <w:spacing w:after="120"/>
        <w:rPr>
          <w:rFonts w:ascii="Georgia" w:hAnsi="Georgia"/>
          <w:b/>
          <w:bCs/>
          <w:sz w:val="20"/>
          <w:szCs w:val="20"/>
        </w:rPr>
      </w:pPr>
    </w:p>
    <w:p w14:paraId="026AA5B5" w14:textId="1E739B11" w:rsidR="00B611EB" w:rsidRDefault="00B611EB" w:rsidP="00A85472">
      <w:pPr>
        <w:spacing w:after="120"/>
        <w:rPr>
          <w:rFonts w:ascii="Georgia" w:hAnsi="Georgia"/>
          <w:b/>
          <w:bCs/>
          <w:sz w:val="20"/>
          <w:szCs w:val="20"/>
        </w:rPr>
      </w:pPr>
      <w:r w:rsidRPr="00DC331F">
        <w:rPr>
          <w:rFonts w:ascii="Georgia" w:hAnsi="Georgia"/>
          <w:b/>
          <w:bCs/>
          <w:sz w:val="20"/>
          <w:szCs w:val="20"/>
        </w:rPr>
        <w:t>Social media post</w:t>
      </w:r>
    </w:p>
    <w:p w14:paraId="54109638" w14:textId="56000CDD" w:rsidR="004921B1" w:rsidRPr="00DC331F" w:rsidRDefault="004921B1" w:rsidP="00A85472">
      <w:pPr>
        <w:spacing w:after="120"/>
        <w:rPr>
          <w:rFonts w:ascii="Georgia" w:hAnsi="Georgia"/>
          <w:b/>
          <w:bCs/>
          <w:sz w:val="20"/>
          <w:szCs w:val="20"/>
        </w:rPr>
      </w:pPr>
      <w:r w:rsidRPr="004921B1">
        <w:rPr>
          <w:rFonts w:ascii="Georgia" w:hAnsi="Georgia"/>
          <w:sz w:val="20"/>
          <w:szCs w:val="20"/>
        </w:rPr>
        <w:t xml:space="preserve">Find out how markets fared in April, amid economic forecasts that point to slowing growth and ongoing measures to tackle inflation. </w:t>
      </w:r>
    </w:p>
    <w:p w14:paraId="1BB71C47" w14:textId="77777777" w:rsidR="00B611EB" w:rsidRPr="00DC331F" w:rsidRDefault="00B611EB" w:rsidP="00A85472">
      <w:pPr>
        <w:spacing w:after="120"/>
        <w:rPr>
          <w:rFonts w:ascii="Georgia" w:hAnsi="Georgia"/>
          <w:b/>
          <w:bCs/>
          <w:sz w:val="20"/>
          <w:szCs w:val="20"/>
        </w:rPr>
      </w:pPr>
    </w:p>
    <w:p w14:paraId="516790AF" w14:textId="5B121D4C" w:rsidR="005946E1" w:rsidRPr="00DC331F" w:rsidRDefault="005946E1" w:rsidP="00A85472">
      <w:pPr>
        <w:spacing w:after="120"/>
        <w:rPr>
          <w:rFonts w:ascii="Georgia" w:hAnsi="Georgia"/>
          <w:b/>
          <w:bCs/>
          <w:sz w:val="20"/>
          <w:szCs w:val="20"/>
        </w:rPr>
      </w:pPr>
      <w:r w:rsidRPr="00DC331F">
        <w:rPr>
          <w:rFonts w:ascii="Georgia" w:hAnsi="Georgia"/>
          <w:b/>
          <w:bCs/>
          <w:sz w:val="20"/>
          <w:szCs w:val="20"/>
        </w:rPr>
        <w:t>Sources</w:t>
      </w:r>
    </w:p>
    <w:p w14:paraId="60FAE3F8" w14:textId="64205103" w:rsidR="001276E5" w:rsidRPr="00DC331F" w:rsidRDefault="001C24A1" w:rsidP="00A85472">
      <w:pPr>
        <w:spacing w:after="120"/>
        <w:rPr>
          <w:rFonts w:ascii="Georgia" w:hAnsi="Georgia"/>
          <w:sz w:val="20"/>
          <w:szCs w:val="20"/>
        </w:rPr>
      </w:pPr>
      <w:hyperlink r:id="rId8" w:history="1">
        <w:r w:rsidR="001276E5" w:rsidRPr="00DC331F">
          <w:rPr>
            <w:rStyle w:val="Hyperlink"/>
            <w:rFonts w:ascii="Georgia" w:hAnsi="Georgia"/>
            <w:sz w:val="20"/>
            <w:szCs w:val="20"/>
          </w:rPr>
          <w:t>https://www.imf.org/en/Publications/WEO/Issues/2022/04/19/world-economic-outlook-april-2022</w:t>
        </w:r>
      </w:hyperlink>
      <w:r w:rsidR="001276E5" w:rsidRPr="00DC331F">
        <w:rPr>
          <w:rFonts w:ascii="Georgia" w:hAnsi="Georgia"/>
          <w:sz w:val="20"/>
          <w:szCs w:val="20"/>
        </w:rPr>
        <w:t xml:space="preserve"> </w:t>
      </w:r>
    </w:p>
    <w:p w14:paraId="46D0BB0D" w14:textId="493FC1CA" w:rsidR="003444D4" w:rsidRPr="00DC331F" w:rsidRDefault="001C24A1" w:rsidP="00A85472">
      <w:pPr>
        <w:spacing w:after="120"/>
        <w:rPr>
          <w:rFonts w:ascii="Georgia" w:hAnsi="Georgia"/>
          <w:sz w:val="20"/>
          <w:szCs w:val="20"/>
        </w:rPr>
      </w:pPr>
      <w:hyperlink r:id="rId9" w:history="1">
        <w:r w:rsidR="003444D4" w:rsidRPr="00DC331F">
          <w:rPr>
            <w:rStyle w:val="Hyperlink"/>
            <w:rFonts w:ascii="Georgia" w:hAnsi="Georgia"/>
            <w:sz w:val="20"/>
            <w:szCs w:val="20"/>
          </w:rPr>
          <w:t>https://www.oecd.org/newsroom/consumer-prices-oecd-updated-5-april-2022.htm</w:t>
        </w:r>
      </w:hyperlink>
      <w:r w:rsidR="003444D4" w:rsidRPr="00DC331F">
        <w:rPr>
          <w:rFonts w:ascii="Georgia" w:hAnsi="Georgia"/>
          <w:sz w:val="20"/>
          <w:szCs w:val="20"/>
        </w:rPr>
        <w:t xml:space="preserve"> </w:t>
      </w:r>
    </w:p>
    <w:p w14:paraId="2DFA4F08" w14:textId="18847591" w:rsidR="00194182" w:rsidRPr="00DC331F" w:rsidRDefault="001C24A1" w:rsidP="00A85472">
      <w:pPr>
        <w:spacing w:after="120"/>
        <w:rPr>
          <w:rFonts w:ascii="Georgia" w:hAnsi="Georgia"/>
          <w:sz w:val="20"/>
          <w:szCs w:val="20"/>
        </w:rPr>
      </w:pPr>
      <w:hyperlink r:id="rId10" w:history="1">
        <w:r w:rsidR="00194182" w:rsidRPr="00DC331F">
          <w:rPr>
            <w:rStyle w:val="Hyperlink"/>
            <w:rFonts w:ascii="Georgia" w:hAnsi="Georgia"/>
            <w:sz w:val="20"/>
            <w:szCs w:val="20"/>
          </w:rPr>
          <w:t>https://www.bls.gov/news.release/pdf/cpi.pdf</w:t>
        </w:r>
      </w:hyperlink>
      <w:r w:rsidR="00194182" w:rsidRPr="00DC331F">
        <w:rPr>
          <w:rFonts w:ascii="Georgia" w:hAnsi="Georgia"/>
          <w:sz w:val="20"/>
          <w:szCs w:val="20"/>
        </w:rPr>
        <w:t xml:space="preserve"> </w:t>
      </w:r>
    </w:p>
    <w:p w14:paraId="2C9F00FC" w14:textId="2B9A541F" w:rsidR="00326634" w:rsidRPr="00DC331F" w:rsidRDefault="001C24A1" w:rsidP="00A85472">
      <w:pPr>
        <w:spacing w:after="120"/>
        <w:rPr>
          <w:rFonts w:ascii="Georgia" w:hAnsi="Georgia"/>
          <w:sz w:val="20"/>
          <w:szCs w:val="20"/>
        </w:rPr>
      </w:pPr>
      <w:hyperlink r:id="rId11" w:history="1">
        <w:r w:rsidR="00326634" w:rsidRPr="00DC331F">
          <w:rPr>
            <w:rStyle w:val="Hyperlink"/>
            <w:rFonts w:ascii="Georgia" w:hAnsi="Georgia"/>
            <w:sz w:val="20"/>
            <w:szCs w:val="20"/>
          </w:rPr>
          <w:t>https://www.ons.gov.uk/economy/inflationandpriceindices/bulletins/consumerpriceinflation/march2022</w:t>
        </w:r>
      </w:hyperlink>
      <w:r w:rsidR="00326634" w:rsidRPr="00DC331F">
        <w:rPr>
          <w:rFonts w:ascii="Georgia" w:hAnsi="Georgia"/>
          <w:sz w:val="20"/>
          <w:szCs w:val="20"/>
        </w:rPr>
        <w:t xml:space="preserve"> </w:t>
      </w:r>
    </w:p>
    <w:p w14:paraId="5A99F337" w14:textId="2854A2C5" w:rsidR="0064255D" w:rsidRPr="001276E5" w:rsidRDefault="001C24A1" w:rsidP="00A85472">
      <w:pPr>
        <w:spacing w:after="120"/>
        <w:rPr>
          <w:rFonts w:ascii="Georgia" w:hAnsi="Georgia"/>
          <w:sz w:val="20"/>
          <w:szCs w:val="20"/>
        </w:rPr>
      </w:pPr>
      <w:hyperlink r:id="rId12" w:history="1">
        <w:r w:rsidR="0064255D" w:rsidRPr="00DC331F">
          <w:rPr>
            <w:rStyle w:val="Hyperlink"/>
            <w:rFonts w:ascii="Georgia" w:hAnsi="Georgia"/>
            <w:sz w:val="20"/>
            <w:szCs w:val="20"/>
          </w:rPr>
          <w:t>https://www.bbc.co.uk/news/business-61239151</w:t>
        </w:r>
      </w:hyperlink>
      <w:r w:rsidR="0064255D">
        <w:rPr>
          <w:rFonts w:ascii="Georgia" w:hAnsi="Georgia"/>
          <w:sz w:val="20"/>
          <w:szCs w:val="20"/>
        </w:rPr>
        <w:t xml:space="preserve"> </w:t>
      </w:r>
    </w:p>
    <w:p w14:paraId="122B4EAC" w14:textId="497A16D1" w:rsidR="009D0FA6" w:rsidRPr="009D0FA6" w:rsidRDefault="009D0FA6" w:rsidP="00A85472">
      <w:pPr>
        <w:spacing w:after="120"/>
        <w:rPr>
          <w:rFonts w:ascii="Georgia" w:hAnsi="Georgia"/>
          <w:color w:val="000000" w:themeColor="text1"/>
          <w:sz w:val="20"/>
          <w:szCs w:val="20"/>
        </w:rPr>
      </w:pPr>
      <w:r w:rsidRPr="009D0FA6">
        <w:rPr>
          <w:rFonts w:ascii="Georgia" w:hAnsi="Georgia"/>
          <w:color w:val="000000" w:themeColor="text1"/>
          <w:sz w:val="20"/>
          <w:szCs w:val="20"/>
        </w:rPr>
        <w:t xml:space="preserve"> </w:t>
      </w:r>
    </w:p>
    <w:sectPr w:rsidR="009D0FA6" w:rsidRPr="009D0FA6" w:rsidSect="000E7E2D">
      <w:headerReference w:type="even" r:id="rId13"/>
      <w:headerReference w:type="default" r:id="rId14"/>
      <w:footerReference w:type="even" r:id="rId15"/>
      <w:footerReference w:type="default" r:id="rId16"/>
      <w:headerReference w:type="first" r:id="rId17"/>
      <w:footerReference w:type="first" r:id="rId18"/>
      <w:pgSz w:w="11900" w:h="16840"/>
      <w:pgMar w:top="1701" w:right="1701" w:bottom="1701"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EA69" w14:textId="77777777" w:rsidR="001C24A1" w:rsidRDefault="001C24A1" w:rsidP="0048041A">
      <w:r>
        <w:separator/>
      </w:r>
    </w:p>
  </w:endnote>
  <w:endnote w:type="continuationSeparator" w:id="0">
    <w:p w14:paraId="35F29EB8" w14:textId="77777777" w:rsidR="001C24A1" w:rsidRDefault="001C24A1" w:rsidP="0048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98E9" w14:textId="77777777" w:rsidR="003C2D78" w:rsidRDefault="003C2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457E" w14:textId="02FF2B78" w:rsidR="00D3406C" w:rsidRPr="0048041A" w:rsidRDefault="00D3406C">
    <w:pPr>
      <w:pStyle w:val="Footer"/>
      <w:rPr>
        <w:rFonts w:ascii="Georgia" w:hAnsi="Georgia"/>
        <w:sz w:val="16"/>
        <w:szCs w:val="16"/>
      </w:rPr>
    </w:pPr>
    <w:r w:rsidRPr="0048041A">
      <w:rPr>
        <w:rFonts w:ascii="Georgia" w:hAnsi="Georgia"/>
        <w:sz w:val="16"/>
        <w:szCs w:val="16"/>
      </w:rPr>
      <w:t>www.investorcoms.com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0EC7" w14:textId="77777777" w:rsidR="003C2D78" w:rsidRDefault="003C2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CD77" w14:textId="77777777" w:rsidR="001C24A1" w:rsidRDefault="001C24A1" w:rsidP="0048041A">
      <w:r>
        <w:separator/>
      </w:r>
    </w:p>
  </w:footnote>
  <w:footnote w:type="continuationSeparator" w:id="0">
    <w:p w14:paraId="2C65FEF8" w14:textId="77777777" w:rsidR="001C24A1" w:rsidRDefault="001C24A1" w:rsidP="0048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F902" w14:textId="77777777" w:rsidR="003C2D78" w:rsidRDefault="003C2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67C2" w14:textId="70CB7442" w:rsidR="008242A8" w:rsidRPr="00495B70" w:rsidRDefault="007E6BED">
    <w:pPr>
      <w:pStyle w:val="Header"/>
      <w:rPr>
        <w:rFonts w:ascii="Georgia" w:hAnsi="Georgia" w:cs="Times New Roman"/>
        <w:sz w:val="16"/>
        <w:szCs w:val="16"/>
        <w:lang w:val="en-US"/>
      </w:rPr>
    </w:pPr>
    <w:r>
      <w:rPr>
        <w:rFonts w:ascii="Georgia" w:hAnsi="Georgia" w:cs="Times New Roman"/>
        <w:sz w:val="16"/>
        <w:szCs w:val="16"/>
        <w:lang w:val="en-US"/>
      </w:rPr>
      <w:t xml:space="preserve">Open Work – </w:t>
    </w:r>
    <w:r w:rsidR="003C2D78">
      <w:rPr>
        <w:rFonts w:ascii="Georgia" w:hAnsi="Georgia" w:cs="Times New Roman"/>
        <w:sz w:val="16"/>
        <w:szCs w:val="16"/>
        <w:lang w:val="en-US"/>
      </w:rPr>
      <w:t xml:space="preserve">monthly </w:t>
    </w:r>
    <w:r>
      <w:rPr>
        <w:rFonts w:ascii="Georgia" w:hAnsi="Georgia" w:cs="Times New Roman"/>
        <w:sz w:val="16"/>
        <w:szCs w:val="16"/>
        <w:lang w:val="en-US"/>
      </w:rPr>
      <w:t>market summary</w:t>
    </w:r>
    <w:r w:rsidR="008242A8" w:rsidRPr="008242A8">
      <w:rPr>
        <w:rFonts w:ascii="Georgia" w:hAnsi="Georgia"/>
        <w:sz w:val="16"/>
        <w:szCs w:val="16"/>
      </w:rPr>
      <w:t xml:space="preserve"> | </w:t>
    </w:r>
    <w:r w:rsidR="008242A8" w:rsidRPr="008242A8">
      <w:rPr>
        <w:rFonts w:ascii="Georgia" w:hAnsi="Georgia" w:cs="Times New Roman"/>
        <w:i/>
        <w:sz w:val="16"/>
        <w:szCs w:val="16"/>
        <w:lang w:val="en-US"/>
      </w:rPr>
      <w:t xml:space="preserve">page </w:t>
    </w:r>
    <w:r w:rsidR="008242A8" w:rsidRPr="008242A8">
      <w:rPr>
        <w:rFonts w:ascii="Georgia" w:hAnsi="Georgia" w:cs="Times New Roman"/>
        <w:i/>
        <w:sz w:val="16"/>
        <w:szCs w:val="16"/>
        <w:lang w:val="en-US"/>
      </w:rPr>
      <w:fldChar w:fldCharType="begin"/>
    </w:r>
    <w:r w:rsidR="008242A8" w:rsidRPr="008242A8">
      <w:rPr>
        <w:rFonts w:ascii="Georgia" w:hAnsi="Georgia" w:cs="Times New Roman"/>
        <w:i/>
        <w:sz w:val="16"/>
        <w:szCs w:val="16"/>
        <w:lang w:val="en-US"/>
      </w:rPr>
      <w:instrText xml:space="preserve"> PAGE </w:instrText>
    </w:r>
    <w:r w:rsidR="008242A8" w:rsidRPr="008242A8">
      <w:rPr>
        <w:rFonts w:ascii="Georgia" w:hAnsi="Georgia" w:cs="Times New Roman"/>
        <w:i/>
        <w:sz w:val="16"/>
        <w:szCs w:val="16"/>
        <w:lang w:val="en-US"/>
      </w:rPr>
      <w:fldChar w:fldCharType="separate"/>
    </w:r>
    <w:r w:rsidR="000E7E2D">
      <w:rPr>
        <w:rFonts w:ascii="Georgia" w:hAnsi="Georgia" w:cs="Times New Roman"/>
        <w:i/>
        <w:noProof/>
        <w:sz w:val="16"/>
        <w:szCs w:val="16"/>
        <w:lang w:val="en-US"/>
      </w:rPr>
      <w:t>1</w:t>
    </w:r>
    <w:r w:rsidR="008242A8" w:rsidRPr="008242A8">
      <w:rPr>
        <w:rFonts w:ascii="Georgia" w:hAnsi="Georgia" w:cs="Times New Roman"/>
        <w:i/>
        <w:sz w:val="16"/>
        <w:szCs w:val="16"/>
        <w:lang w:val="en-US"/>
      </w:rPr>
      <w:fldChar w:fldCharType="end"/>
    </w:r>
    <w:r w:rsidR="008242A8" w:rsidRPr="008242A8">
      <w:rPr>
        <w:rFonts w:ascii="Georgia" w:hAnsi="Georgia" w:cs="Times New Roman"/>
        <w:i/>
        <w:sz w:val="16"/>
        <w:szCs w:val="16"/>
        <w:lang w:val="en-US"/>
      </w:rPr>
      <w:t xml:space="preserve"> of </w:t>
    </w:r>
    <w:r w:rsidR="008242A8" w:rsidRPr="008242A8">
      <w:rPr>
        <w:rFonts w:ascii="Georgia" w:hAnsi="Georgia" w:cs="Times New Roman"/>
        <w:i/>
        <w:sz w:val="16"/>
        <w:szCs w:val="16"/>
        <w:lang w:val="en-US"/>
      </w:rPr>
      <w:fldChar w:fldCharType="begin"/>
    </w:r>
    <w:r w:rsidR="008242A8" w:rsidRPr="008242A8">
      <w:rPr>
        <w:rFonts w:ascii="Georgia" w:hAnsi="Georgia" w:cs="Times New Roman"/>
        <w:i/>
        <w:sz w:val="16"/>
        <w:szCs w:val="16"/>
        <w:lang w:val="en-US"/>
      </w:rPr>
      <w:instrText xml:space="preserve"> NUMPAGES </w:instrText>
    </w:r>
    <w:r w:rsidR="008242A8" w:rsidRPr="008242A8">
      <w:rPr>
        <w:rFonts w:ascii="Georgia" w:hAnsi="Georgia" w:cs="Times New Roman"/>
        <w:i/>
        <w:sz w:val="16"/>
        <w:szCs w:val="16"/>
        <w:lang w:val="en-US"/>
      </w:rPr>
      <w:fldChar w:fldCharType="separate"/>
    </w:r>
    <w:r w:rsidR="000E7E2D">
      <w:rPr>
        <w:rFonts w:ascii="Georgia" w:hAnsi="Georgia" w:cs="Times New Roman"/>
        <w:i/>
        <w:noProof/>
        <w:sz w:val="16"/>
        <w:szCs w:val="16"/>
        <w:lang w:val="en-US"/>
      </w:rPr>
      <w:t>1</w:t>
    </w:r>
    <w:r w:rsidR="008242A8" w:rsidRPr="008242A8">
      <w:rPr>
        <w:rFonts w:ascii="Georgia" w:hAnsi="Georgia" w:cs="Times New Roman"/>
        <w:i/>
        <w:sz w:val="16"/>
        <w:szCs w:val="16"/>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6CEB" w14:textId="77777777" w:rsidR="003C2D78" w:rsidRDefault="003C2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0D59"/>
    <w:multiLevelType w:val="hybridMultilevel"/>
    <w:tmpl w:val="6A944CCE"/>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C34F0C"/>
    <w:multiLevelType w:val="hybridMultilevel"/>
    <w:tmpl w:val="AD4A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77034"/>
    <w:multiLevelType w:val="hybridMultilevel"/>
    <w:tmpl w:val="AEFC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A05FA"/>
    <w:multiLevelType w:val="hybridMultilevel"/>
    <w:tmpl w:val="8182C670"/>
    <w:lvl w:ilvl="0" w:tplc="BE78A946">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014807">
    <w:abstractNumId w:val="1"/>
  </w:num>
  <w:num w:numId="2" w16cid:durableId="1771000957">
    <w:abstractNumId w:val="2"/>
  </w:num>
  <w:num w:numId="3" w16cid:durableId="725222659">
    <w:abstractNumId w:val="3"/>
  </w:num>
  <w:num w:numId="4" w16cid:durableId="210102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8A"/>
    <w:rsid w:val="00006718"/>
    <w:rsid w:val="00010A03"/>
    <w:rsid w:val="000110F1"/>
    <w:rsid w:val="00021FDC"/>
    <w:rsid w:val="000223DD"/>
    <w:rsid w:val="000267CC"/>
    <w:rsid w:val="00026FE5"/>
    <w:rsid w:val="000320C9"/>
    <w:rsid w:val="0003323E"/>
    <w:rsid w:val="000335C4"/>
    <w:rsid w:val="00034709"/>
    <w:rsid w:val="00036B0A"/>
    <w:rsid w:val="00044B27"/>
    <w:rsid w:val="000464E4"/>
    <w:rsid w:val="00047CFC"/>
    <w:rsid w:val="00056B2E"/>
    <w:rsid w:val="00056B58"/>
    <w:rsid w:val="0006145F"/>
    <w:rsid w:val="0006394D"/>
    <w:rsid w:val="00071642"/>
    <w:rsid w:val="0007498A"/>
    <w:rsid w:val="000753EA"/>
    <w:rsid w:val="0007586B"/>
    <w:rsid w:val="000758F5"/>
    <w:rsid w:val="00076092"/>
    <w:rsid w:val="00077DE5"/>
    <w:rsid w:val="000816A9"/>
    <w:rsid w:val="00081D95"/>
    <w:rsid w:val="0008451B"/>
    <w:rsid w:val="000933D8"/>
    <w:rsid w:val="00094B0C"/>
    <w:rsid w:val="00095A87"/>
    <w:rsid w:val="00096825"/>
    <w:rsid w:val="000972DA"/>
    <w:rsid w:val="00097BDD"/>
    <w:rsid w:val="000A2234"/>
    <w:rsid w:val="000A2DA7"/>
    <w:rsid w:val="000A3746"/>
    <w:rsid w:val="000A6975"/>
    <w:rsid w:val="000B0A37"/>
    <w:rsid w:val="000B46A6"/>
    <w:rsid w:val="000B4FD8"/>
    <w:rsid w:val="000B7E30"/>
    <w:rsid w:val="000C0DE5"/>
    <w:rsid w:val="000C1208"/>
    <w:rsid w:val="000C17FA"/>
    <w:rsid w:val="000C1FC4"/>
    <w:rsid w:val="000C5138"/>
    <w:rsid w:val="000C59BB"/>
    <w:rsid w:val="000D2002"/>
    <w:rsid w:val="000D3924"/>
    <w:rsid w:val="000E00FF"/>
    <w:rsid w:val="000E18B3"/>
    <w:rsid w:val="000E7E2D"/>
    <w:rsid w:val="000F01B1"/>
    <w:rsid w:val="000F2C9D"/>
    <w:rsid w:val="000F5CDA"/>
    <w:rsid w:val="00101A46"/>
    <w:rsid w:val="001021BC"/>
    <w:rsid w:val="00102263"/>
    <w:rsid w:val="001037AB"/>
    <w:rsid w:val="001037B1"/>
    <w:rsid w:val="0010389A"/>
    <w:rsid w:val="0010461E"/>
    <w:rsid w:val="00104BC6"/>
    <w:rsid w:val="00104FFE"/>
    <w:rsid w:val="0010565F"/>
    <w:rsid w:val="001069F8"/>
    <w:rsid w:val="001105F0"/>
    <w:rsid w:val="001111F5"/>
    <w:rsid w:val="001179FE"/>
    <w:rsid w:val="0012105A"/>
    <w:rsid w:val="00126C1D"/>
    <w:rsid w:val="001276E5"/>
    <w:rsid w:val="00130554"/>
    <w:rsid w:val="0013176E"/>
    <w:rsid w:val="001328F1"/>
    <w:rsid w:val="001352E6"/>
    <w:rsid w:val="0013679F"/>
    <w:rsid w:val="0014488A"/>
    <w:rsid w:val="00144DFE"/>
    <w:rsid w:val="0015031C"/>
    <w:rsid w:val="00151E42"/>
    <w:rsid w:val="00152630"/>
    <w:rsid w:val="00152876"/>
    <w:rsid w:val="00152D57"/>
    <w:rsid w:val="001552B4"/>
    <w:rsid w:val="001754AF"/>
    <w:rsid w:val="00177A94"/>
    <w:rsid w:val="00182183"/>
    <w:rsid w:val="0018356D"/>
    <w:rsid w:val="00184F46"/>
    <w:rsid w:val="001853E6"/>
    <w:rsid w:val="00187D80"/>
    <w:rsid w:val="001909FA"/>
    <w:rsid w:val="00192AE8"/>
    <w:rsid w:val="001940B5"/>
    <w:rsid w:val="0019411D"/>
    <w:rsid w:val="00194182"/>
    <w:rsid w:val="00194743"/>
    <w:rsid w:val="001966D3"/>
    <w:rsid w:val="00197214"/>
    <w:rsid w:val="001A7BC4"/>
    <w:rsid w:val="001B1E12"/>
    <w:rsid w:val="001B6E1E"/>
    <w:rsid w:val="001B7459"/>
    <w:rsid w:val="001C0302"/>
    <w:rsid w:val="001C24A1"/>
    <w:rsid w:val="001C277B"/>
    <w:rsid w:val="001D1474"/>
    <w:rsid w:val="001D199A"/>
    <w:rsid w:val="001D50AA"/>
    <w:rsid w:val="001E14F4"/>
    <w:rsid w:val="001E1775"/>
    <w:rsid w:val="001E29B6"/>
    <w:rsid w:val="001E2E2B"/>
    <w:rsid w:val="001E3409"/>
    <w:rsid w:val="001E59A1"/>
    <w:rsid w:val="001F14AD"/>
    <w:rsid w:val="001F1D3A"/>
    <w:rsid w:val="001F281D"/>
    <w:rsid w:val="001F39D0"/>
    <w:rsid w:val="001F42E4"/>
    <w:rsid w:val="001F506E"/>
    <w:rsid w:val="001F5B95"/>
    <w:rsid w:val="001F7DEE"/>
    <w:rsid w:val="00200BEA"/>
    <w:rsid w:val="00203141"/>
    <w:rsid w:val="00205377"/>
    <w:rsid w:val="00212467"/>
    <w:rsid w:val="002144B7"/>
    <w:rsid w:val="0021465C"/>
    <w:rsid w:val="00220883"/>
    <w:rsid w:val="00220942"/>
    <w:rsid w:val="00223C77"/>
    <w:rsid w:val="002241C2"/>
    <w:rsid w:val="00224658"/>
    <w:rsid w:val="002272BF"/>
    <w:rsid w:val="0022756C"/>
    <w:rsid w:val="00227887"/>
    <w:rsid w:val="00235C5D"/>
    <w:rsid w:val="00236DC2"/>
    <w:rsid w:val="00237FB2"/>
    <w:rsid w:val="00242850"/>
    <w:rsid w:val="002455D8"/>
    <w:rsid w:val="00247CDD"/>
    <w:rsid w:val="002511A2"/>
    <w:rsid w:val="00252781"/>
    <w:rsid w:val="002602C5"/>
    <w:rsid w:val="00263B7A"/>
    <w:rsid w:val="00264B06"/>
    <w:rsid w:val="00267D66"/>
    <w:rsid w:val="0027485D"/>
    <w:rsid w:val="002752DF"/>
    <w:rsid w:val="00280460"/>
    <w:rsid w:val="002808B9"/>
    <w:rsid w:val="00280BF4"/>
    <w:rsid w:val="002825E6"/>
    <w:rsid w:val="00282DA3"/>
    <w:rsid w:val="00290C12"/>
    <w:rsid w:val="00292258"/>
    <w:rsid w:val="00293F73"/>
    <w:rsid w:val="00294939"/>
    <w:rsid w:val="00296517"/>
    <w:rsid w:val="002A0B67"/>
    <w:rsid w:val="002A6B95"/>
    <w:rsid w:val="002A6CDC"/>
    <w:rsid w:val="002A71E1"/>
    <w:rsid w:val="002B2502"/>
    <w:rsid w:val="002B2952"/>
    <w:rsid w:val="002B541B"/>
    <w:rsid w:val="002B55AE"/>
    <w:rsid w:val="002B66FE"/>
    <w:rsid w:val="002B69E8"/>
    <w:rsid w:val="002B725B"/>
    <w:rsid w:val="002B75C5"/>
    <w:rsid w:val="002C0FE3"/>
    <w:rsid w:val="002D0D79"/>
    <w:rsid w:val="002D1D30"/>
    <w:rsid w:val="002D34F3"/>
    <w:rsid w:val="002D4D17"/>
    <w:rsid w:val="002D5FC4"/>
    <w:rsid w:val="002D6BE7"/>
    <w:rsid w:val="002E575D"/>
    <w:rsid w:val="002F059C"/>
    <w:rsid w:val="002F3288"/>
    <w:rsid w:val="002F4504"/>
    <w:rsid w:val="00307E14"/>
    <w:rsid w:val="00307F67"/>
    <w:rsid w:val="00310C18"/>
    <w:rsid w:val="003119BC"/>
    <w:rsid w:val="00314F36"/>
    <w:rsid w:val="00315D1B"/>
    <w:rsid w:val="0032244D"/>
    <w:rsid w:val="003228A9"/>
    <w:rsid w:val="00325277"/>
    <w:rsid w:val="00326634"/>
    <w:rsid w:val="00326B7E"/>
    <w:rsid w:val="00327977"/>
    <w:rsid w:val="00330513"/>
    <w:rsid w:val="00331CCA"/>
    <w:rsid w:val="003341E5"/>
    <w:rsid w:val="003348AF"/>
    <w:rsid w:val="00335367"/>
    <w:rsid w:val="0034125E"/>
    <w:rsid w:val="003444D4"/>
    <w:rsid w:val="00345E1A"/>
    <w:rsid w:val="003506CA"/>
    <w:rsid w:val="00353B4B"/>
    <w:rsid w:val="0035446C"/>
    <w:rsid w:val="00355927"/>
    <w:rsid w:val="00355D38"/>
    <w:rsid w:val="003572CA"/>
    <w:rsid w:val="00357537"/>
    <w:rsid w:val="00362803"/>
    <w:rsid w:val="00364482"/>
    <w:rsid w:val="00370FF3"/>
    <w:rsid w:val="00374158"/>
    <w:rsid w:val="00376E25"/>
    <w:rsid w:val="00377E89"/>
    <w:rsid w:val="00381887"/>
    <w:rsid w:val="00381A3D"/>
    <w:rsid w:val="00382B10"/>
    <w:rsid w:val="00383BB1"/>
    <w:rsid w:val="00392CE7"/>
    <w:rsid w:val="003A07D3"/>
    <w:rsid w:val="003A0802"/>
    <w:rsid w:val="003A1F54"/>
    <w:rsid w:val="003A2F90"/>
    <w:rsid w:val="003A59FE"/>
    <w:rsid w:val="003A77A6"/>
    <w:rsid w:val="003B1A1F"/>
    <w:rsid w:val="003B711C"/>
    <w:rsid w:val="003C2D78"/>
    <w:rsid w:val="003C3FA2"/>
    <w:rsid w:val="003C4004"/>
    <w:rsid w:val="003C4AFA"/>
    <w:rsid w:val="003C595B"/>
    <w:rsid w:val="003E0261"/>
    <w:rsid w:val="003E7EE5"/>
    <w:rsid w:val="003F0ABF"/>
    <w:rsid w:val="003F59C9"/>
    <w:rsid w:val="003F629B"/>
    <w:rsid w:val="004068C9"/>
    <w:rsid w:val="004132E9"/>
    <w:rsid w:val="004151B4"/>
    <w:rsid w:val="00423CB0"/>
    <w:rsid w:val="0042577A"/>
    <w:rsid w:val="00425C3C"/>
    <w:rsid w:val="0042747F"/>
    <w:rsid w:val="00442501"/>
    <w:rsid w:val="0044535B"/>
    <w:rsid w:val="00445A1C"/>
    <w:rsid w:val="00446621"/>
    <w:rsid w:val="0044748B"/>
    <w:rsid w:val="00447775"/>
    <w:rsid w:val="0045032D"/>
    <w:rsid w:val="00452558"/>
    <w:rsid w:val="0045442D"/>
    <w:rsid w:val="0046070A"/>
    <w:rsid w:val="00461DA6"/>
    <w:rsid w:val="0046212F"/>
    <w:rsid w:val="00464163"/>
    <w:rsid w:val="00464212"/>
    <w:rsid w:val="00465EDD"/>
    <w:rsid w:val="00467037"/>
    <w:rsid w:val="004736F9"/>
    <w:rsid w:val="00473C39"/>
    <w:rsid w:val="00474A5E"/>
    <w:rsid w:val="004753FE"/>
    <w:rsid w:val="00477C60"/>
    <w:rsid w:val="0048041A"/>
    <w:rsid w:val="004815D8"/>
    <w:rsid w:val="0048207D"/>
    <w:rsid w:val="004828DB"/>
    <w:rsid w:val="00483B1D"/>
    <w:rsid w:val="00487119"/>
    <w:rsid w:val="004907AC"/>
    <w:rsid w:val="00490A26"/>
    <w:rsid w:val="00490CA3"/>
    <w:rsid w:val="00491EFA"/>
    <w:rsid w:val="004921B1"/>
    <w:rsid w:val="004939FE"/>
    <w:rsid w:val="00495B70"/>
    <w:rsid w:val="00497551"/>
    <w:rsid w:val="004A09A8"/>
    <w:rsid w:val="004A423F"/>
    <w:rsid w:val="004A6468"/>
    <w:rsid w:val="004B3BF0"/>
    <w:rsid w:val="004B470D"/>
    <w:rsid w:val="004B5641"/>
    <w:rsid w:val="004C41FB"/>
    <w:rsid w:val="004D04DC"/>
    <w:rsid w:val="004D0B9F"/>
    <w:rsid w:val="004E1A0E"/>
    <w:rsid w:val="004F2F2B"/>
    <w:rsid w:val="004F2FC5"/>
    <w:rsid w:val="004F5D0D"/>
    <w:rsid w:val="005038BF"/>
    <w:rsid w:val="00503DFC"/>
    <w:rsid w:val="00503E14"/>
    <w:rsid w:val="00504B4C"/>
    <w:rsid w:val="00505786"/>
    <w:rsid w:val="00506810"/>
    <w:rsid w:val="00507BF3"/>
    <w:rsid w:val="00510880"/>
    <w:rsid w:val="00512A84"/>
    <w:rsid w:val="00512D89"/>
    <w:rsid w:val="00514E4E"/>
    <w:rsid w:val="00515034"/>
    <w:rsid w:val="00516FF8"/>
    <w:rsid w:val="00517288"/>
    <w:rsid w:val="005201A6"/>
    <w:rsid w:val="00523B13"/>
    <w:rsid w:val="00532381"/>
    <w:rsid w:val="00536B69"/>
    <w:rsid w:val="005503EE"/>
    <w:rsid w:val="0055042A"/>
    <w:rsid w:val="005510A4"/>
    <w:rsid w:val="005521B7"/>
    <w:rsid w:val="005575A1"/>
    <w:rsid w:val="0056030D"/>
    <w:rsid w:val="00560A47"/>
    <w:rsid w:val="00562A17"/>
    <w:rsid w:val="00564FC1"/>
    <w:rsid w:val="00565F5A"/>
    <w:rsid w:val="00566F9A"/>
    <w:rsid w:val="00572FB5"/>
    <w:rsid w:val="00574E18"/>
    <w:rsid w:val="00576511"/>
    <w:rsid w:val="0057665A"/>
    <w:rsid w:val="00581D16"/>
    <w:rsid w:val="00585823"/>
    <w:rsid w:val="00586BC9"/>
    <w:rsid w:val="00586E65"/>
    <w:rsid w:val="0058783E"/>
    <w:rsid w:val="0059200A"/>
    <w:rsid w:val="0059222A"/>
    <w:rsid w:val="0059340D"/>
    <w:rsid w:val="005946E1"/>
    <w:rsid w:val="005948F7"/>
    <w:rsid w:val="0059598D"/>
    <w:rsid w:val="005A1EE7"/>
    <w:rsid w:val="005A32F4"/>
    <w:rsid w:val="005A6D26"/>
    <w:rsid w:val="005A7439"/>
    <w:rsid w:val="005A7578"/>
    <w:rsid w:val="005B453A"/>
    <w:rsid w:val="005C188A"/>
    <w:rsid w:val="005C28D5"/>
    <w:rsid w:val="005C55AE"/>
    <w:rsid w:val="005C65CC"/>
    <w:rsid w:val="005C742C"/>
    <w:rsid w:val="005C78EA"/>
    <w:rsid w:val="005D20D6"/>
    <w:rsid w:val="005D2118"/>
    <w:rsid w:val="005D27FD"/>
    <w:rsid w:val="005D3615"/>
    <w:rsid w:val="005D3667"/>
    <w:rsid w:val="005D406A"/>
    <w:rsid w:val="005D4A50"/>
    <w:rsid w:val="005D5ABB"/>
    <w:rsid w:val="005E11D3"/>
    <w:rsid w:val="005E1339"/>
    <w:rsid w:val="005E164D"/>
    <w:rsid w:val="005E1776"/>
    <w:rsid w:val="005E282D"/>
    <w:rsid w:val="005E3F77"/>
    <w:rsid w:val="005E4118"/>
    <w:rsid w:val="005E5947"/>
    <w:rsid w:val="005F7CA7"/>
    <w:rsid w:val="005F7CA9"/>
    <w:rsid w:val="006014E8"/>
    <w:rsid w:val="006057C4"/>
    <w:rsid w:val="006068ED"/>
    <w:rsid w:val="00607142"/>
    <w:rsid w:val="006105F1"/>
    <w:rsid w:val="00615C52"/>
    <w:rsid w:val="00616124"/>
    <w:rsid w:val="006175CE"/>
    <w:rsid w:val="00621A1F"/>
    <w:rsid w:val="00622C0F"/>
    <w:rsid w:val="00623AF1"/>
    <w:rsid w:val="00624169"/>
    <w:rsid w:val="006242E8"/>
    <w:rsid w:val="0062683E"/>
    <w:rsid w:val="00626D17"/>
    <w:rsid w:val="00627F53"/>
    <w:rsid w:val="00632799"/>
    <w:rsid w:val="0064255D"/>
    <w:rsid w:val="00643583"/>
    <w:rsid w:val="00646B48"/>
    <w:rsid w:val="00650F34"/>
    <w:rsid w:val="00654CE4"/>
    <w:rsid w:val="00662DEA"/>
    <w:rsid w:val="00663692"/>
    <w:rsid w:val="006638E2"/>
    <w:rsid w:val="00665ED4"/>
    <w:rsid w:val="00666467"/>
    <w:rsid w:val="00670FC4"/>
    <w:rsid w:val="0067229A"/>
    <w:rsid w:val="006741AA"/>
    <w:rsid w:val="006801F1"/>
    <w:rsid w:val="00680433"/>
    <w:rsid w:val="00684A84"/>
    <w:rsid w:val="0068718A"/>
    <w:rsid w:val="0069144B"/>
    <w:rsid w:val="00691C15"/>
    <w:rsid w:val="00692709"/>
    <w:rsid w:val="00695D29"/>
    <w:rsid w:val="006960A8"/>
    <w:rsid w:val="0069615E"/>
    <w:rsid w:val="006965A0"/>
    <w:rsid w:val="006A048D"/>
    <w:rsid w:val="006A0B2D"/>
    <w:rsid w:val="006A418A"/>
    <w:rsid w:val="006A5C97"/>
    <w:rsid w:val="006B16F3"/>
    <w:rsid w:val="006B2BD4"/>
    <w:rsid w:val="006B3959"/>
    <w:rsid w:val="006B5C52"/>
    <w:rsid w:val="006B5D5D"/>
    <w:rsid w:val="006B7E76"/>
    <w:rsid w:val="006C02CA"/>
    <w:rsid w:val="006C2176"/>
    <w:rsid w:val="006C2B50"/>
    <w:rsid w:val="006C43B7"/>
    <w:rsid w:val="006D6B0A"/>
    <w:rsid w:val="006E0A4B"/>
    <w:rsid w:val="006E26D9"/>
    <w:rsid w:val="006E3437"/>
    <w:rsid w:val="006E59C0"/>
    <w:rsid w:val="006E68D3"/>
    <w:rsid w:val="006E7CE0"/>
    <w:rsid w:val="006F0A8A"/>
    <w:rsid w:val="006F1C7C"/>
    <w:rsid w:val="006F3404"/>
    <w:rsid w:val="006F6F65"/>
    <w:rsid w:val="006F709C"/>
    <w:rsid w:val="0070051E"/>
    <w:rsid w:val="007012AF"/>
    <w:rsid w:val="00702B34"/>
    <w:rsid w:val="007052AF"/>
    <w:rsid w:val="00706C63"/>
    <w:rsid w:val="00711F63"/>
    <w:rsid w:val="00713242"/>
    <w:rsid w:val="0071495F"/>
    <w:rsid w:val="00714A82"/>
    <w:rsid w:val="00717023"/>
    <w:rsid w:val="007174C4"/>
    <w:rsid w:val="00717675"/>
    <w:rsid w:val="00717F2C"/>
    <w:rsid w:val="00721D0A"/>
    <w:rsid w:val="007240AF"/>
    <w:rsid w:val="007272FE"/>
    <w:rsid w:val="00727715"/>
    <w:rsid w:val="00733E01"/>
    <w:rsid w:val="007353B4"/>
    <w:rsid w:val="0073563C"/>
    <w:rsid w:val="0073572B"/>
    <w:rsid w:val="00736C50"/>
    <w:rsid w:val="007418E8"/>
    <w:rsid w:val="007420E9"/>
    <w:rsid w:val="00742208"/>
    <w:rsid w:val="00745067"/>
    <w:rsid w:val="007503A6"/>
    <w:rsid w:val="007513CC"/>
    <w:rsid w:val="00751A93"/>
    <w:rsid w:val="00754590"/>
    <w:rsid w:val="007550C4"/>
    <w:rsid w:val="007564BE"/>
    <w:rsid w:val="00760310"/>
    <w:rsid w:val="00761666"/>
    <w:rsid w:val="00761D5A"/>
    <w:rsid w:val="00761EB1"/>
    <w:rsid w:val="00767198"/>
    <w:rsid w:val="007676DC"/>
    <w:rsid w:val="00767D19"/>
    <w:rsid w:val="00771830"/>
    <w:rsid w:val="0077650E"/>
    <w:rsid w:val="007801BE"/>
    <w:rsid w:val="00781EFE"/>
    <w:rsid w:val="00782634"/>
    <w:rsid w:val="00783AD3"/>
    <w:rsid w:val="0079266A"/>
    <w:rsid w:val="0079313C"/>
    <w:rsid w:val="00795235"/>
    <w:rsid w:val="007A2D78"/>
    <w:rsid w:val="007A3E8D"/>
    <w:rsid w:val="007B32E6"/>
    <w:rsid w:val="007B38C5"/>
    <w:rsid w:val="007B4259"/>
    <w:rsid w:val="007B4A21"/>
    <w:rsid w:val="007B79FD"/>
    <w:rsid w:val="007B7A99"/>
    <w:rsid w:val="007C071D"/>
    <w:rsid w:val="007C400D"/>
    <w:rsid w:val="007C42B9"/>
    <w:rsid w:val="007C5299"/>
    <w:rsid w:val="007C6677"/>
    <w:rsid w:val="007C7FCC"/>
    <w:rsid w:val="007D41D3"/>
    <w:rsid w:val="007E0156"/>
    <w:rsid w:val="007E0AF3"/>
    <w:rsid w:val="007E0E58"/>
    <w:rsid w:val="007E1598"/>
    <w:rsid w:val="007E1802"/>
    <w:rsid w:val="007E1AF5"/>
    <w:rsid w:val="007E1D67"/>
    <w:rsid w:val="007E25FE"/>
    <w:rsid w:val="007E2CE3"/>
    <w:rsid w:val="007E40B0"/>
    <w:rsid w:val="007E54DC"/>
    <w:rsid w:val="007E6BED"/>
    <w:rsid w:val="007E7527"/>
    <w:rsid w:val="007F0C9D"/>
    <w:rsid w:val="007F21D0"/>
    <w:rsid w:val="007F3D6B"/>
    <w:rsid w:val="007F4C31"/>
    <w:rsid w:val="007F5079"/>
    <w:rsid w:val="0080338D"/>
    <w:rsid w:val="00804441"/>
    <w:rsid w:val="0080609F"/>
    <w:rsid w:val="00806C07"/>
    <w:rsid w:val="00810F72"/>
    <w:rsid w:val="00811B46"/>
    <w:rsid w:val="00815493"/>
    <w:rsid w:val="008167B4"/>
    <w:rsid w:val="0081700C"/>
    <w:rsid w:val="00817675"/>
    <w:rsid w:val="008242A8"/>
    <w:rsid w:val="0082478D"/>
    <w:rsid w:val="00824A0B"/>
    <w:rsid w:val="00824A5D"/>
    <w:rsid w:val="008255CD"/>
    <w:rsid w:val="00826A5A"/>
    <w:rsid w:val="00832E1B"/>
    <w:rsid w:val="00833EAE"/>
    <w:rsid w:val="008355E9"/>
    <w:rsid w:val="00835C54"/>
    <w:rsid w:val="00842AE3"/>
    <w:rsid w:val="00842C8F"/>
    <w:rsid w:val="00843444"/>
    <w:rsid w:val="008452D6"/>
    <w:rsid w:val="00846B34"/>
    <w:rsid w:val="008472D4"/>
    <w:rsid w:val="00850164"/>
    <w:rsid w:val="0085086F"/>
    <w:rsid w:val="00852753"/>
    <w:rsid w:val="00853E84"/>
    <w:rsid w:val="00856E15"/>
    <w:rsid w:val="00857187"/>
    <w:rsid w:val="00862C5D"/>
    <w:rsid w:val="008674DC"/>
    <w:rsid w:val="008676F0"/>
    <w:rsid w:val="00867819"/>
    <w:rsid w:val="00867B0A"/>
    <w:rsid w:val="00871828"/>
    <w:rsid w:val="0087252F"/>
    <w:rsid w:val="0087753E"/>
    <w:rsid w:val="008851AE"/>
    <w:rsid w:val="00890DCA"/>
    <w:rsid w:val="008919E7"/>
    <w:rsid w:val="0089645D"/>
    <w:rsid w:val="008A22AD"/>
    <w:rsid w:val="008A4198"/>
    <w:rsid w:val="008A7E29"/>
    <w:rsid w:val="008B1AB7"/>
    <w:rsid w:val="008B1F0A"/>
    <w:rsid w:val="008B2B49"/>
    <w:rsid w:val="008B2CDC"/>
    <w:rsid w:val="008B4443"/>
    <w:rsid w:val="008B5E39"/>
    <w:rsid w:val="008B5FFD"/>
    <w:rsid w:val="008C10AE"/>
    <w:rsid w:val="008C1134"/>
    <w:rsid w:val="008C2801"/>
    <w:rsid w:val="008C3589"/>
    <w:rsid w:val="008C56D5"/>
    <w:rsid w:val="008D496C"/>
    <w:rsid w:val="008E083C"/>
    <w:rsid w:val="008E2EA9"/>
    <w:rsid w:val="008E5436"/>
    <w:rsid w:val="008E5581"/>
    <w:rsid w:val="008E58AC"/>
    <w:rsid w:val="008E5C9E"/>
    <w:rsid w:val="008E744D"/>
    <w:rsid w:val="008E775E"/>
    <w:rsid w:val="008F27BF"/>
    <w:rsid w:val="008F2BE7"/>
    <w:rsid w:val="008F4C40"/>
    <w:rsid w:val="008F5A6E"/>
    <w:rsid w:val="0090025A"/>
    <w:rsid w:val="00902A12"/>
    <w:rsid w:val="00903C82"/>
    <w:rsid w:val="00905D2F"/>
    <w:rsid w:val="0090757A"/>
    <w:rsid w:val="0091040C"/>
    <w:rsid w:val="00911783"/>
    <w:rsid w:val="00917ED5"/>
    <w:rsid w:val="00920FE7"/>
    <w:rsid w:val="009262A4"/>
    <w:rsid w:val="009308D8"/>
    <w:rsid w:val="00931663"/>
    <w:rsid w:val="0093721D"/>
    <w:rsid w:val="00937DF3"/>
    <w:rsid w:val="00940118"/>
    <w:rsid w:val="00940703"/>
    <w:rsid w:val="00940E12"/>
    <w:rsid w:val="009468F1"/>
    <w:rsid w:val="00961EAA"/>
    <w:rsid w:val="00962A7A"/>
    <w:rsid w:val="00964BDD"/>
    <w:rsid w:val="00966346"/>
    <w:rsid w:val="00972349"/>
    <w:rsid w:val="00980B8B"/>
    <w:rsid w:val="0098184F"/>
    <w:rsid w:val="00983FD4"/>
    <w:rsid w:val="00985660"/>
    <w:rsid w:val="00987CBE"/>
    <w:rsid w:val="009A1B2C"/>
    <w:rsid w:val="009A1B3D"/>
    <w:rsid w:val="009A3A29"/>
    <w:rsid w:val="009A3E7C"/>
    <w:rsid w:val="009B05CA"/>
    <w:rsid w:val="009B2358"/>
    <w:rsid w:val="009B4EB3"/>
    <w:rsid w:val="009B5D81"/>
    <w:rsid w:val="009B76D6"/>
    <w:rsid w:val="009C30E9"/>
    <w:rsid w:val="009D0B19"/>
    <w:rsid w:val="009D0FA6"/>
    <w:rsid w:val="009D13D2"/>
    <w:rsid w:val="009D18BD"/>
    <w:rsid w:val="009D2635"/>
    <w:rsid w:val="009D5753"/>
    <w:rsid w:val="009D72DB"/>
    <w:rsid w:val="009D7FD5"/>
    <w:rsid w:val="009E110E"/>
    <w:rsid w:val="009E1CDD"/>
    <w:rsid w:val="009E2B88"/>
    <w:rsid w:val="009E56E1"/>
    <w:rsid w:val="009E60E2"/>
    <w:rsid w:val="009E6E11"/>
    <w:rsid w:val="009F1046"/>
    <w:rsid w:val="009F51C6"/>
    <w:rsid w:val="009F59C9"/>
    <w:rsid w:val="00A00572"/>
    <w:rsid w:val="00A016B1"/>
    <w:rsid w:val="00A06314"/>
    <w:rsid w:val="00A10A95"/>
    <w:rsid w:val="00A13ACF"/>
    <w:rsid w:val="00A15026"/>
    <w:rsid w:val="00A20A15"/>
    <w:rsid w:val="00A214A1"/>
    <w:rsid w:val="00A22352"/>
    <w:rsid w:val="00A24BF7"/>
    <w:rsid w:val="00A25325"/>
    <w:rsid w:val="00A26326"/>
    <w:rsid w:val="00A30EB8"/>
    <w:rsid w:val="00A33220"/>
    <w:rsid w:val="00A3757D"/>
    <w:rsid w:val="00A4427D"/>
    <w:rsid w:val="00A45CD7"/>
    <w:rsid w:val="00A46382"/>
    <w:rsid w:val="00A50FE2"/>
    <w:rsid w:val="00A52F98"/>
    <w:rsid w:val="00A56272"/>
    <w:rsid w:val="00A56F26"/>
    <w:rsid w:val="00A576B4"/>
    <w:rsid w:val="00A612B0"/>
    <w:rsid w:val="00A613B9"/>
    <w:rsid w:val="00A63C7B"/>
    <w:rsid w:val="00A6410E"/>
    <w:rsid w:val="00A66F83"/>
    <w:rsid w:val="00A73D97"/>
    <w:rsid w:val="00A8078A"/>
    <w:rsid w:val="00A8182C"/>
    <w:rsid w:val="00A81DEF"/>
    <w:rsid w:val="00A83D05"/>
    <w:rsid w:val="00A85472"/>
    <w:rsid w:val="00A90800"/>
    <w:rsid w:val="00A91462"/>
    <w:rsid w:val="00A91F20"/>
    <w:rsid w:val="00A9266F"/>
    <w:rsid w:val="00A93FCF"/>
    <w:rsid w:val="00A94DF9"/>
    <w:rsid w:val="00A95EA7"/>
    <w:rsid w:val="00A96912"/>
    <w:rsid w:val="00A96957"/>
    <w:rsid w:val="00A96FDB"/>
    <w:rsid w:val="00AA0BA6"/>
    <w:rsid w:val="00AA16E8"/>
    <w:rsid w:val="00AA1703"/>
    <w:rsid w:val="00AA4C85"/>
    <w:rsid w:val="00AA60FF"/>
    <w:rsid w:val="00AA6600"/>
    <w:rsid w:val="00AB0595"/>
    <w:rsid w:val="00AC4CC6"/>
    <w:rsid w:val="00AC5ED8"/>
    <w:rsid w:val="00AD0A46"/>
    <w:rsid w:val="00AD2A93"/>
    <w:rsid w:val="00AD3EC4"/>
    <w:rsid w:val="00AE130C"/>
    <w:rsid w:val="00AE3AD9"/>
    <w:rsid w:val="00AE417C"/>
    <w:rsid w:val="00AE611C"/>
    <w:rsid w:val="00AF05F3"/>
    <w:rsid w:val="00AF25B9"/>
    <w:rsid w:val="00AF61A3"/>
    <w:rsid w:val="00AF716C"/>
    <w:rsid w:val="00B020D2"/>
    <w:rsid w:val="00B023F6"/>
    <w:rsid w:val="00B03FDF"/>
    <w:rsid w:val="00B04918"/>
    <w:rsid w:val="00B07AF9"/>
    <w:rsid w:val="00B103C5"/>
    <w:rsid w:val="00B24901"/>
    <w:rsid w:val="00B31393"/>
    <w:rsid w:val="00B3181A"/>
    <w:rsid w:val="00B333AF"/>
    <w:rsid w:val="00B3385D"/>
    <w:rsid w:val="00B36A18"/>
    <w:rsid w:val="00B42A1A"/>
    <w:rsid w:val="00B45016"/>
    <w:rsid w:val="00B474CA"/>
    <w:rsid w:val="00B50C3B"/>
    <w:rsid w:val="00B51E7C"/>
    <w:rsid w:val="00B52038"/>
    <w:rsid w:val="00B536FE"/>
    <w:rsid w:val="00B5485C"/>
    <w:rsid w:val="00B56907"/>
    <w:rsid w:val="00B56F8C"/>
    <w:rsid w:val="00B576E9"/>
    <w:rsid w:val="00B602AB"/>
    <w:rsid w:val="00B60C6D"/>
    <w:rsid w:val="00B611EB"/>
    <w:rsid w:val="00B65892"/>
    <w:rsid w:val="00B66D78"/>
    <w:rsid w:val="00B70526"/>
    <w:rsid w:val="00B7195D"/>
    <w:rsid w:val="00B71B00"/>
    <w:rsid w:val="00B75B2B"/>
    <w:rsid w:val="00B76949"/>
    <w:rsid w:val="00B77D6D"/>
    <w:rsid w:val="00B80409"/>
    <w:rsid w:val="00B83B11"/>
    <w:rsid w:val="00B85149"/>
    <w:rsid w:val="00B86876"/>
    <w:rsid w:val="00B90F3A"/>
    <w:rsid w:val="00B92B0C"/>
    <w:rsid w:val="00B9448A"/>
    <w:rsid w:val="00BA0326"/>
    <w:rsid w:val="00BA15A7"/>
    <w:rsid w:val="00BA2A73"/>
    <w:rsid w:val="00BA2C9C"/>
    <w:rsid w:val="00BA39DD"/>
    <w:rsid w:val="00BA62B3"/>
    <w:rsid w:val="00BA67A7"/>
    <w:rsid w:val="00BA715D"/>
    <w:rsid w:val="00BB127B"/>
    <w:rsid w:val="00BB2AE3"/>
    <w:rsid w:val="00BB5BDE"/>
    <w:rsid w:val="00BC0E3C"/>
    <w:rsid w:val="00BC5360"/>
    <w:rsid w:val="00BC638F"/>
    <w:rsid w:val="00BC6C4E"/>
    <w:rsid w:val="00BD498D"/>
    <w:rsid w:val="00BD4CAA"/>
    <w:rsid w:val="00BD5350"/>
    <w:rsid w:val="00BD5FC5"/>
    <w:rsid w:val="00BD70CB"/>
    <w:rsid w:val="00BE35CB"/>
    <w:rsid w:val="00BE42A0"/>
    <w:rsid w:val="00BE4D8D"/>
    <w:rsid w:val="00BE67AC"/>
    <w:rsid w:val="00BE7FAD"/>
    <w:rsid w:val="00BF32E7"/>
    <w:rsid w:val="00BF4E0E"/>
    <w:rsid w:val="00BF5CC3"/>
    <w:rsid w:val="00BF651B"/>
    <w:rsid w:val="00BF6848"/>
    <w:rsid w:val="00C01C25"/>
    <w:rsid w:val="00C0218C"/>
    <w:rsid w:val="00C02AE9"/>
    <w:rsid w:val="00C04904"/>
    <w:rsid w:val="00C06845"/>
    <w:rsid w:val="00C105C7"/>
    <w:rsid w:val="00C11DEC"/>
    <w:rsid w:val="00C16AE9"/>
    <w:rsid w:val="00C1799C"/>
    <w:rsid w:val="00C21B61"/>
    <w:rsid w:val="00C228D6"/>
    <w:rsid w:val="00C252B5"/>
    <w:rsid w:val="00C27934"/>
    <w:rsid w:val="00C33A81"/>
    <w:rsid w:val="00C357B2"/>
    <w:rsid w:val="00C3679D"/>
    <w:rsid w:val="00C36B94"/>
    <w:rsid w:val="00C376AD"/>
    <w:rsid w:val="00C404C7"/>
    <w:rsid w:val="00C427D6"/>
    <w:rsid w:val="00C4340E"/>
    <w:rsid w:val="00C51902"/>
    <w:rsid w:val="00C54D7B"/>
    <w:rsid w:val="00C551F6"/>
    <w:rsid w:val="00C567A4"/>
    <w:rsid w:val="00C56924"/>
    <w:rsid w:val="00C64F81"/>
    <w:rsid w:val="00C672A6"/>
    <w:rsid w:val="00C67EF6"/>
    <w:rsid w:val="00C71039"/>
    <w:rsid w:val="00C751D2"/>
    <w:rsid w:val="00C75517"/>
    <w:rsid w:val="00C76878"/>
    <w:rsid w:val="00C77D56"/>
    <w:rsid w:val="00C82BDE"/>
    <w:rsid w:val="00C840D0"/>
    <w:rsid w:val="00C842E5"/>
    <w:rsid w:val="00C874EB"/>
    <w:rsid w:val="00C908FD"/>
    <w:rsid w:val="00C963E3"/>
    <w:rsid w:val="00CA040F"/>
    <w:rsid w:val="00CA373B"/>
    <w:rsid w:val="00CA473B"/>
    <w:rsid w:val="00CB092E"/>
    <w:rsid w:val="00CB2C12"/>
    <w:rsid w:val="00CB330D"/>
    <w:rsid w:val="00CB3DFE"/>
    <w:rsid w:val="00CB3EAD"/>
    <w:rsid w:val="00CC2CAC"/>
    <w:rsid w:val="00CC3863"/>
    <w:rsid w:val="00CC3AFA"/>
    <w:rsid w:val="00CC40A9"/>
    <w:rsid w:val="00CC4492"/>
    <w:rsid w:val="00CC68E7"/>
    <w:rsid w:val="00CC7409"/>
    <w:rsid w:val="00CD23D6"/>
    <w:rsid w:val="00CD3BF9"/>
    <w:rsid w:val="00CD3EC5"/>
    <w:rsid w:val="00CD728A"/>
    <w:rsid w:val="00CE00B8"/>
    <w:rsid w:val="00CE0A78"/>
    <w:rsid w:val="00CE2713"/>
    <w:rsid w:val="00CE4EE0"/>
    <w:rsid w:val="00CE6460"/>
    <w:rsid w:val="00CF1266"/>
    <w:rsid w:val="00CF551D"/>
    <w:rsid w:val="00CF6A9B"/>
    <w:rsid w:val="00D03E08"/>
    <w:rsid w:val="00D0496C"/>
    <w:rsid w:val="00D05460"/>
    <w:rsid w:val="00D05B45"/>
    <w:rsid w:val="00D06EA2"/>
    <w:rsid w:val="00D1069B"/>
    <w:rsid w:val="00D14958"/>
    <w:rsid w:val="00D14AA9"/>
    <w:rsid w:val="00D15414"/>
    <w:rsid w:val="00D16487"/>
    <w:rsid w:val="00D16B82"/>
    <w:rsid w:val="00D16E9C"/>
    <w:rsid w:val="00D26AB0"/>
    <w:rsid w:val="00D33CCA"/>
    <w:rsid w:val="00D3406C"/>
    <w:rsid w:val="00D37C8A"/>
    <w:rsid w:val="00D422AA"/>
    <w:rsid w:val="00D43969"/>
    <w:rsid w:val="00D45974"/>
    <w:rsid w:val="00D5315A"/>
    <w:rsid w:val="00D56D60"/>
    <w:rsid w:val="00D60807"/>
    <w:rsid w:val="00D6110D"/>
    <w:rsid w:val="00D614C1"/>
    <w:rsid w:val="00D70EF2"/>
    <w:rsid w:val="00D73EBD"/>
    <w:rsid w:val="00D75266"/>
    <w:rsid w:val="00D8104C"/>
    <w:rsid w:val="00D82FB8"/>
    <w:rsid w:val="00D85EC1"/>
    <w:rsid w:val="00D909A6"/>
    <w:rsid w:val="00D9554D"/>
    <w:rsid w:val="00D955C5"/>
    <w:rsid w:val="00D963A9"/>
    <w:rsid w:val="00D96585"/>
    <w:rsid w:val="00D97D2B"/>
    <w:rsid w:val="00DA1418"/>
    <w:rsid w:val="00DA1DD5"/>
    <w:rsid w:val="00DA2DD8"/>
    <w:rsid w:val="00DA4C19"/>
    <w:rsid w:val="00DA5ADD"/>
    <w:rsid w:val="00DA699F"/>
    <w:rsid w:val="00DA6A4C"/>
    <w:rsid w:val="00DB36D5"/>
    <w:rsid w:val="00DB6EF3"/>
    <w:rsid w:val="00DB79C5"/>
    <w:rsid w:val="00DC331F"/>
    <w:rsid w:val="00DC4886"/>
    <w:rsid w:val="00DC6790"/>
    <w:rsid w:val="00DC68B6"/>
    <w:rsid w:val="00DC6B4D"/>
    <w:rsid w:val="00DD1A56"/>
    <w:rsid w:val="00DE49A1"/>
    <w:rsid w:val="00DE4CD3"/>
    <w:rsid w:val="00DF19A2"/>
    <w:rsid w:val="00DF64AA"/>
    <w:rsid w:val="00DF68AB"/>
    <w:rsid w:val="00DF761B"/>
    <w:rsid w:val="00DF79CC"/>
    <w:rsid w:val="00E00C26"/>
    <w:rsid w:val="00E04052"/>
    <w:rsid w:val="00E0595F"/>
    <w:rsid w:val="00E06536"/>
    <w:rsid w:val="00E14080"/>
    <w:rsid w:val="00E17AD1"/>
    <w:rsid w:val="00E20554"/>
    <w:rsid w:val="00E2055E"/>
    <w:rsid w:val="00E217AB"/>
    <w:rsid w:val="00E21CFD"/>
    <w:rsid w:val="00E24F80"/>
    <w:rsid w:val="00E25889"/>
    <w:rsid w:val="00E26374"/>
    <w:rsid w:val="00E32EA3"/>
    <w:rsid w:val="00E37A7F"/>
    <w:rsid w:val="00E4116B"/>
    <w:rsid w:val="00E41307"/>
    <w:rsid w:val="00E41AAB"/>
    <w:rsid w:val="00E420A5"/>
    <w:rsid w:val="00E44DBE"/>
    <w:rsid w:val="00E45753"/>
    <w:rsid w:val="00E45C9B"/>
    <w:rsid w:val="00E50611"/>
    <w:rsid w:val="00E5174E"/>
    <w:rsid w:val="00E540B0"/>
    <w:rsid w:val="00E55BDF"/>
    <w:rsid w:val="00E56D68"/>
    <w:rsid w:val="00E579F5"/>
    <w:rsid w:val="00E61027"/>
    <w:rsid w:val="00E62780"/>
    <w:rsid w:val="00E62D16"/>
    <w:rsid w:val="00E65C4A"/>
    <w:rsid w:val="00E676AB"/>
    <w:rsid w:val="00E703EC"/>
    <w:rsid w:val="00E744A0"/>
    <w:rsid w:val="00E74EBB"/>
    <w:rsid w:val="00E750A3"/>
    <w:rsid w:val="00E77838"/>
    <w:rsid w:val="00E81079"/>
    <w:rsid w:val="00E81A7E"/>
    <w:rsid w:val="00E85896"/>
    <w:rsid w:val="00E86075"/>
    <w:rsid w:val="00E87510"/>
    <w:rsid w:val="00E87B56"/>
    <w:rsid w:val="00E9147C"/>
    <w:rsid w:val="00E91B15"/>
    <w:rsid w:val="00E921D3"/>
    <w:rsid w:val="00E9466E"/>
    <w:rsid w:val="00E95942"/>
    <w:rsid w:val="00E959BC"/>
    <w:rsid w:val="00EA087F"/>
    <w:rsid w:val="00EA1181"/>
    <w:rsid w:val="00EA16E1"/>
    <w:rsid w:val="00EA2318"/>
    <w:rsid w:val="00EA2D1E"/>
    <w:rsid w:val="00EA3C07"/>
    <w:rsid w:val="00EA465F"/>
    <w:rsid w:val="00EA46D3"/>
    <w:rsid w:val="00EA6FED"/>
    <w:rsid w:val="00EB1564"/>
    <w:rsid w:val="00EB20AF"/>
    <w:rsid w:val="00EB3041"/>
    <w:rsid w:val="00EB3C0A"/>
    <w:rsid w:val="00EB60AD"/>
    <w:rsid w:val="00EC0CE3"/>
    <w:rsid w:val="00EC1020"/>
    <w:rsid w:val="00EC1AC8"/>
    <w:rsid w:val="00EC240B"/>
    <w:rsid w:val="00EC384A"/>
    <w:rsid w:val="00EC6D1E"/>
    <w:rsid w:val="00ED1DD0"/>
    <w:rsid w:val="00ED2D84"/>
    <w:rsid w:val="00ED396A"/>
    <w:rsid w:val="00ED49C7"/>
    <w:rsid w:val="00ED4D1C"/>
    <w:rsid w:val="00EE0F39"/>
    <w:rsid w:val="00EE3962"/>
    <w:rsid w:val="00EE4F5A"/>
    <w:rsid w:val="00EE6FBD"/>
    <w:rsid w:val="00EF5805"/>
    <w:rsid w:val="00EF5862"/>
    <w:rsid w:val="00EF7A7D"/>
    <w:rsid w:val="00F01897"/>
    <w:rsid w:val="00F043D0"/>
    <w:rsid w:val="00F05746"/>
    <w:rsid w:val="00F05F7E"/>
    <w:rsid w:val="00F074FE"/>
    <w:rsid w:val="00F07DDE"/>
    <w:rsid w:val="00F13DE5"/>
    <w:rsid w:val="00F15407"/>
    <w:rsid w:val="00F16E29"/>
    <w:rsid w:val="00F21F14"/>
    <w:rsid w:val="00F224C5"/>
    <w:rsid w:val="00F238BD"/>
    <w:rsid w:val="00F252B9"/>
    <w:rsid w:val="00F2729D"/>
    <w:rsid w:val="00F34AA4"/>
    <w:rsid w:val="00F37028"/>
    <w:rsid w:val="00F4057B"/>
    <w:rsid w:val="00F42665"/>
    <w:rsid w:val="00F44245"/>
    <w:rsid w:val="00F450C1"/>
    <w:rsid w:val="00F4582D"/>
    <w:rsid w:val="00F45D74"/>
    <w:rsid w:val="00F4786C"/>
    <w:rsid w:val="00F50D7D"/>
    <w:rsid w:val="00F513B9"/>
    <w:rsid w:val="00F5255F"/>
    <w:rsid w:val="00F5393C"/>
    <w:rsid w:val="00F607E8"/>
    <w:rsid w:val="00F663C2"/>
    <w:rsid w:val="00F673FF"/>
    <w:rsid w:val="00F67BE6"/>
    <w:rsid w:val="00F70D95"/>
    <w:rsid w:val="00F721C4"/>
    <w:rsid w:val="00F85CD1"/>
    <w:rsid w:val="00F8617E"/>
    <w:rsid w:val="00F862F7"/>
    <w:rsid w:val="00F875ED"/>
    <w:rsid w:val="00F91418"/>
    <w:rsid w:val="00F9300D"/>
    <w:rsid w:val="00F93E1F"/>
    <w:rsid w:val="00F9487D"/>
    <w:rsid w:val="00F9543E"/>
    <w:rsid w:val="00FA1584"/>
    <w:rsid w:val="00FA3546"/>
    <w:rsid w:val="00FA406E"/>
    <w:rsid w:val="00FB2771"/>
    <w:rsid w:val="00FB5375"/>
    <w:rsid w:val="00FB56FE"/>
    <w:rsid w:val="00FB6B3A"/>
    <w:rsid w:val="00FC5FBD"/>
    <w:rsid w:val="00FD00CF"/>
    <w:rsid w:val="00FD0477"/>
    <w:rsid w:val="00FD37B6"/>
    <w:rsid w:val="00FD4E8A"/>
    <w:rsid w:val="00FD6310"/>
    <w:rsid w:val="00FD6390"/>
    <w:rsid w:val="00FD6D4E"/>
    <w:rsid w:val="00FD7BE7"/>
    <w:rsid w:val="00FE092C"/>
    <w:rsid w:val="00FE1587"/>
    <w:rsid w:val="00FE4AA8"/>
    <w:rsid w:val="00FE60D8"/>
    <w:rsid w:val="00FE6B90"/>
    <w:rsid w:val="00FE6D0B"/>
    <w:rsid w:val="00FE7D59"/>
    <w:rsid w:val="00FF0C30"/>
    <w:rsid w:val="00FF14C0"/>
    <w:rsid w:val="00FF1FAD"/>
    <w:rsid w:val="00FF203A"/>
    <w:rsid w:val="00FF4600"/>
    <w:rsid w:val="00FF4B39"/>
    <w:rsid w:val="00FF7F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8B5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5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35CB"/>
    <w:rPr>
      <w:rFonts w:ascii="Lucida Grande" w:hAnsi="Lucida Grande" w:cs="Lucida Grande"/>
      <w:sz w:val="18"/>
      <w:szCs w:val="18"/>
    </w:rPr>
  </w:style>
  <w:style w:type="paragraph" w:styleId="Header">
    <w:name w:val="header"/>
    <w:basedOn w:val="Normal"/>
    <w:link w:val="HeaderChar"/>
    <w:uiPriority w:val="99"/>
    <w:unhideWhenUsed/>
    <w:rsid w:val="0048041A"/>
    <w:pPr>
      <w:tabs>
        <w:tab w:val="center" w:pos="4320"/>
        <w:tab w:val="right" w:pos="8640"/>
      </w:tabs>
    </w:pPr>
  </w:style>
  <w:style w:type="character" w:customStyle="1" w:styleId="HeaderChar">
    <w:name w:val="Header Char"/>
    <w:basedOn w:val="DefaultParagraphFont"/>
    <w:link w:val="Header"/>
    <w:uiPriority w:val="99"/>
    <w:rsid w:val="0048041A"/>
  </w:style>
  <w:style w:type="paragraph" w:styleId="Footer">
    <w:name w:val="footer"/>
    <w:basedOn w:val="Normal"/>
    <w:link w:val="FooterChar"/>
    <w:uiPriority w:val="99"/>
    <w:unhideWhenUsed/>
    <w:rsid w:val="0048041A"/>
    <w:pPr>
      <w:tabs>
        <w:tab w:val="center" w:pos="4320"/>
        <w:tab w:val="right" w:pos="8640"/>
      </w:tabs>
    </w:pPr>
  </w:style>
  <w:style w:type="character" w:customStyle="1" w:styleId="FooterChar">
    <w:name w:val="Footer Char"/>
    <w:basedOn w:val="DefaultParagraphFont"/>
    <w:link w:val="Footer"/>
    <w:uiPriority w:val="99"/>
    <w:rsid w:val="0048041A"/>
  </w:style>
  <w:style w:type="character" w:styleId="Hyperlink">
    <w:name w:val="Hyperlink"/>
    <w:basedOn w:val="DefaultParagraphFont"/>
    <w:uiPriority w:val="99"/>
    <w:unhideWhenUsed/>
    <w:rsid w:val="0048041A"/>
    <w:rPr>
      <w:color w:val="0000FF" w:themeColor="hyperlink"/>
      <w:u w:val="single"/>
    </w:rPr>
  </w:style>
  <w:style w:type="character" w:styleId="PageNumber">
    <w:name w:val="page number"/>
    <w:basedOn w:val="DefaultParagraphFont"/>
    <w:uiPriority w:val="99"/>
    <w:semiHidden/>
    <w:unhideWhenUsed/>
    <w:rsid w:val="008242A8"/>
  </w:style>
  <w:style w:type="paragraph" w:styleId="ListParagraph">
    <w:name w:val="List Paragraph"/>
    <w:basedOn w:val="Normal"/>
    <w:uiPriority w:val="34"/>
    <w:qFormat/>
    <w:rsid w:val="00034709"/>
    <w:pPr>
      <w:ind w:left="720"/>
      <w:contextualSpacing/>
    </w:pPr>
  </w:style>
  <w:style w:type="table" w:styleId="TableGrid">
    <w:name w:val="Table Grid"/>
    <w:basedOn w:val="TableNormal"/>
    <w:uiPriority w:val="59"/>
    <w:rsid w:val="00A93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body-text">
    <w:name w:val="article__body-text"/>
    <w:basedOn w:val="Normal"/>
    <w:rsid w:val="003B711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B711C"/>
    <w:rPr>
      <w:b/>
      <w:bCs/>
    </w:rPr>
  </w:style>
  <w:style w:type="paragraph" w:customStyle="1" w:styleId="dcr-s23rjr">
    <w:name w:val="dcr-s23rjr"/>
    <w:basedOn w:val="Normal"/>
    <w:rsid w:val="003B711C"/>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0972DA"/>
    <w:rPr>
      <w:color w:val="800080" w:themeColor="followedHyperlink"/>
      <w:u w:val="single"/>
    </w:rPr>
  </w:style>
  <w:style w:type="character" w:styleId="UnresolvedMention">
    <w:name w:val="Unresolved Mention"/>
    <w:basedOn w:val="DefaultParagraphFont"/>
    <w:uiPriority w:val="99"/>
    <w:rsid w:val="000972DA"/>
    <w:rPr>
      <w:color w:val="605E5C"/>
      <w:shd w:val="clear" w:color="auto" w:fill="E1DFDD"/>
    </w:rPr>
  </w:style>
  <w:style w:type="paragraph" w:styleId="NormalWeb">
    <w:name w:val="Normal (Web)"/>
    <w:basedOn w:val="Normal"/>
    <w:uiPriority w:val="99"/>
    <w:unhideWhenUsed/>
    <w:rsid w:val="00CA373B"/>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562A17"/>
  </w:style>
  <w:style w:type="paragraph" w:customStyle="1" w:styleId="dcr-o5gy41">
    <w:name w:val="dcr-o5gy41"/>
    <w:basedOn w:val="Normal"/>
    <w:rsid w:val="00985660"/>
    <w:pPr>
      <w:spacing w:before="100" w:beforeAutospacing="1" w:after="100" w:afterAutospacing="1"/>
    </w:pPr>
    <w:rPr>
      <w:rFonts w:ascii="Times New Roman" w:eastAsia="Times New Roman" w:hAnsi="Times New Roman" w:cs="Times New Roman"/>
      <w:lang w:eastAsia="en-GB"/>
    </w:rPr>
  </w:style>
  <w:style w:type="paragraph" w:customStyle="1" w:styleId="dcr-1qcirl4">
    <w:name w:val="dcr-1qcirl4"/>
    <w:basedOn w:val="Normal"/>
    <w:rsid w:val="005946E1"/>
    <w:pPr>
      <w:spacing w:before="100" w:beforeAutospacing="1" w:after="100" w:afterAutospacing="1"/>
    </w:pPr>
    <w:rPr>
      <w:rFonts w:ascii="Times New Roman" w:eastAsia="Times New Roman" w:hAnsi="Times New Roman" w:cs="Times New Roman"/>
      <w:lang w:eastAsia="en-GB"/>
    </w:rPr>
  </w:style>
  <w:style w:type="paragraph" w:customStyle="1" w:styleId="dcr-xry7m2">
    <w:name w:val="dcr-xry7m2"/>
    <w:basedOn w:val="Normal"/>
    <w:rsid w:val="001E3409"/>
    <w:pPr>
      <w:spacing w:before="100" w:beforeAutospacing="1" w:after="100" w:afterAutospacing="1"/>
    </w:pPr>
    <w:rPr>
      <w:rFonts w:ascii="Times New Roman" w:eastAsia="Times New Roman" w:hAnsi="Times New Roman" w:cs="Times New Roman"/>
      <w:lang w:eastAsia="en-GB"/>
    </w:rPr>
  </w:style>
  <w:style w:type="paragraph" w:customStyle="1" w:styleId="dcr-1wj398p">
    <w:name w:val="dcr-1wj398p"/>
    <w:basedOn w:val="Normal"/>
    <w:rsid w:val="001E340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7623">
      <w:bodyDiv w:val="1"/>
      <w:marLeft w:val="0"/>
      <w:marRight w:val="0"/>
      <w:marTop w:val="0"/>
      <w:marBottom w:val="0"/>
      <w:divBdr>
        <w:top w:val="none" w:sz="0" w:space="0" w:color="auto"/>
        <w:left w:val="none" w:sz="0" w:space="0" w:color="auto"/>
        <w:bottom w:val="none" w:sz="0" w:space="0" w:color="auto"/>
        <w:right w:val="none" w:sz="0" w:space="0" w:color="auto"/>
      </w:divBdr>
    </w:div>
    <w:div w:id="92668640">
      <w:bodyDiv w:val="1"/>
      <w:marLeft w:val="0"/>
      <w:marRight w:val="0"/>
      <w:marTop w:val="0"/>
      <w:marBottom w:val="0"/>
      <w:divBdr>
        <w:top w:val="none" w:sz="0" w:space="0" w:color="auto"/>
        <w:left w:val="none" w:sz="0" w:space="0" w:color="auto"/>
        <w:bottom w:val="none" w:sz="0" w:space="0" w:color="auto"/>
        <w:right w:val="none" w:sz="0" w:space="0" w:color="auto"/>
      </w:divBdr>
    </w:div>
    <w:div w:id="358942826">
      <w:bodyDiv w:val="1"/>
      <w:marLeft w:val="0"/>
      <w:marRight w:val="0"/>
      <w:marTop w:val="0"/>
      <w:marBottom w:val="0"/>
      <w:divBdr>
        <w:top w:val="none" w:sz="0" w:space="0" w:color="auto"/>
        <w:left w:val="none" w:sz="0" w:space="0" w:color="auto"/>
        <w:bottom w:val="none" w:sz="0" w:space="0" w:color="auto"/>
        <w:right w:val="none" w:sz="0" w:space="0" w:color="auto"/>
      </w:divBdr>
    </w:div>
    <w:div w:id="590166151">
      <w:bodyDiv w:val="1"/>
      <w:marLeft w:val="0"/>
      <w:marRight w:val="0"/>
      <w:marTop w:val="0"/>
      <w:marBottom w:val="0"/>
      <w:divBdr>
        <w:top w:val="none" w:sz="0" w:space="0" w:color="auto"/>
        <w:left w:val="none" w:sz="0" w:space="0" w:color="auto"/>
        <w:bottom w:val="none" w:sz="0" w:space="0" w:color="auto"/>
        <w:right w:val="none" w:sz="0" w:space="0" w:color="auto"/>
      </w:divBdr>
    </w:div>
    <w:div w:id="669990995">
      <w:bodyDiv w:val="1"/>
      <w:marLeft w:val="0"/>
      <w:marRight w:val="0"/>
      <w:marTop w:val="0"/>
      <w:marBottom w:val="0"/>
      <w:divBdr>
        <w:top w:val="none" w:sz="0" w:space="0" w:color="auto"/>
        <w:left w:val="none" w:sz="0" w:space="0" w:color="auto"/>
        <w:bottom w:val="none" w:sz="0" w:space="0" w:color="auto"/>
        <w:right w:val="none" w:sz="0" w:space="0" w:color="auto"/>
      </w:divBdr>
    </w:div>
    <w:div w:id="714817756">
      <w:bodyDiv w:val="1"/>
      <w:marLeft w:val="0"/>
      <w:marRight w:val="0"/>
      <w:marTop w:val="0"/>
      <w:marBottom w:val="0"/>
      <w:divBdr>
        <w:top w:val="none" w:sz="0" w:space="0" w:color="auto"/>
        <w:left w:val="none" w:sz="0" w:space="0" w:color="auto"/>
        <w:bottom w:val="none" w:sz="0" w:space="0" w:color="auto"/>
        <w:right w:val="none" w:sz="0" w:space="0" w:color="auto"/>
      </w:divBdr>
    </w:div>
    <w:div w:id="769088057">
      <w:bodyDiv w:val="1"/>
      <w:marLeft w:val="0"/>
      <w:marRight w:val="0"/>
      <w:marTop w:val="0"/>
      <w:marBottom w:val="0"/>
      <w:divBdr>
        <w:top w:val="none" w:sz="0" w:space="0" w:color="auto"/>
        <w:left w:val="none" w:sz="0" w:space="0" w:color="auto"/>
        <w:bottom w:val="none" w:sz="0" w:space="0" w:color="auto"/>
        <w:right w:val="none" w:sz="0" w:space="0" w:color="auto"/>
      </w:divBdr>
    </w:div>
    <w:div w:id="936717827">
      <w:bodyDiv w:val="1"/>
      <w:marLeft w:val="0"/>
      <w:marRight w:val="0"/>
      <w:marTop w:val="0"/>
      <w:marBottom w:val="0"/>
      <w:divBdr>
        <w:top w:val="none" w:sz="0" w:space="0" w:color="auto"/>
        <w:left w:val="none" w:sz="0" w:space="0" w:color="auto"/>
        <w:bottom w:val="none" w:sz="0" w:space="0" w:color="auto"/>
        <w:right w:val="none" w:sz="0" w:space="0" w:color="auto"/>
      </w:divBdr>
    </w:div>
    <w:div w:id="979454512">
      <w:bodyDiv w:val="1"/>
      <w:marLeft w:val="0"/>
      <w:marRight w:val="0"/>
      <w:marTop w:val="0"/>
      <w:marBottom w:val="0"/>
      <w:divBdr>
        <w:top w:val="none" w:sz="0" w:space="0" w:color="auto"/>
        <w:left w:val="none" w:sz="0" w:space="0" w:color="auto"/>
        <w:bottom w:val="none" w:sz="0" w:space="0" w:color="auto"/>
        <w:right w:val="none" w:sz="0" w:space="0" w:color="auto"/>
      </w:divBdr>
    </w:div>
    <w:div w:id="1197693397">
      <w:bodyDiv w:val="1"/>
      <w:marLeft w:val="0"/>
      <w:marRight w:val="0"/>
      <w:marTop w:val="0"/>
      <w:marBottom w:val="0"/>
      <w:divBdr>
        <w:top w:val="none" w:sz="0" w:space="0" w:color="auto"/>
        <w:left w:val="none" w:sz="0" w:space="0" w:color="auto"/>
        <w:bottom w:val="none" w:sz="0" w:space="0" w:color="auto"/>
        <w:right w:val="none" w:sz="0" w:space="0" w:color="auto"/>
      </w:divBdr>
    </w:div>
    <w:div w:id="1293747584">
      <w:bodyDiv w:val="1"/>
      <w:marLeft w:val="0"/>
      <w:marRight w:val="0"/>
      <w:marTop w:val="0"/>
      <w:marBottom w:val="0"/>
      <w:divBdr>
        <w:top w:val="none" w:sz="0" w:space="0" w:color="auto"/>
        <w:left w:val="none" w:sz="0" w:space="0" w:color="auto"/>
        <w:bottom w:val="none" w:sz="0" w:space="0" w:color="auto"/>
        <w:right w:val="none" w:sz="0" w:space="0" w:color="auto"/>
      </w:divBdr>
    </w:div>
    <w:div w:id="1408041248">
      <w:bodyDiv w:val="1"/>
      <w:marLeft w:val="0"/>
      <w:marRight w:val="0"/>
      <w:marTop w:val="0"/>
      <w:marBottom w:val="0"/>
      <w:divBdr>
        <w:top w:val="none" w:sz="0" w:space="0" w:color="auto"/>
        <w:left w:val="none" w:sz="0" w:space="0" w:color="auto"/>
        <w:bottom w:val="none" w:sz="0" w:space="0" w:color="auto"/>
        <w:right w:val="none" w:sz="0" w:space="0" w:color="auto"/>
      </w:divBdr>
    </w:div>
    <w:div w:id="1503161263">
      <w:bodyDiv w:val="1"/>
      <w:marLeft w:val="0"/>
      <w:marRight w:val="0"/>
      <w:marTop w:val="0"/>
      <w:marBottom w:val="0"/>
      <w:divBdr>
        <w:top w:val="none" w:sz="0" w:space="0" w:color="auto"/>
        <w:left w:val="none" w:sz="0" w:space="0" w:color="auto"/>
        <w:bottom w:val="none" w:sz="0" w:space="0" w:color="auto"/>
        <w:right w:val="none" w:sz="0" w:space="0" w:color="auto"/>
      </w:divBdr>
    </w:div>
    <w:div w:id="1509564338">
      <w:bodyDiv w:val="1"/>
      <w:marLeft w:val="0"/>
      <w:marRight w:val="0"/>
      <w:marTop w:val="0"/>
      <w:marBottom w:val="0"/>
      <w:divBdr>
        <w:top w:val="none" w:sz="0" w:space="0" w:color="auto"/>
        <w:left w:val="none" w:sz="0" w:space="0" w:color="auto"/>
        <w:bottom w:val="none" w:sz="0" w:space="0" w:color="auto"/>
        <w:right w:val="none" w:sz="0" w:space="0" w:color="auto"/>
      </w:divBdr>
    </w:div>
    <w:div w:id="1570114478">
      <w:bodyDiv w:val="1"/>
      <w:marLeft w:val="0"/>
      <w:marRight w:val="0"/>
      <w:marTop w:val="0"/>
      <w:marBottom w:val="0"/>
      <w:divBdr>
        <w:top w:val="none" w:sz="0" w:space="0" w:color="auto"/>
        <w:left w:val="none" w:sz="0" w:space="0" w:color="auto"/>
        <w:bottom w:val="none" w:sz="0" w:space="0" w:color="auto"/>
        <w:right w:val="none" w:sz="0" w:space="0" w:color="auto"/>
      </w:divBdr>
    </w:div>
    <w:div w:id="1910114552">
      <w:bodyDiv w:val="1"/>
      <w:marLeft w:val="0"/>
      <w:marRight w:val="0"/>
      <w:marTop w:val="0"/>
      <w:marBottom w:val="0"/>
      <w:divBdr>
        <w:top w:val="none" w:sz="0" w:space="0" w:color="auto"/>
        <w:left w:val="none" w:sz="0" w:space="0" w:color="auto"/>
        <w:bottom w:val="none" w:sz="0" w:space="0" w:color="auto"/>
        <w:right w:val="none" w:sz="0" w:space="0" w:color="auto"/>
      </w:divBdr>
    </w:div>
    <w:div w:id="2034918831">
      <w:bodyDiv w:val="1"/>
      <w:marLeft w:val="0"/>
      <w:marRight w:val="0"/>
      <w:marTop w:val="0"/>
      <w:marBottom w:val="0"/>
      <w:divBdr>
        <w:top w:val="none" w:sz="0" w:space="0" w:color="auto"/>
        <w:left w:val="none" w:sz="0" w:space="0" w:color="auto"/>
        <w:bottom w:val="none" w:sz="0" w:space="0" w:color="auto"/>
        <w:right w:val="none" w:sz="0" w:space="0" w:color="auto"/>
      </w:divBdr>
    </w:div>
    <w:div w:id="2068411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n/Publications/WEO/Issues/2022/04/19/world-economic-outlook-april-202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uk/news/business-6123915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economy/inflationandpriceindices/bulletins/consumerpriceinflation/march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s.gov/news.release/pdf/cpi.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ecd.org/newsroom/consumer-prices-oecd-updated-5-april-2022.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4AAA-1625-6B4B-89E7-8A7D97D2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InvestorComs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Nutt</dc:creator>
  <cp:keywords/>
  <dc:description/>
  <cp:lastModifiedBy>Carolyn Edmiston</cp:lastModifiedBy>
  <cp:revision>2</cp:revision>
  <cp:lastPrinted>2018-06-22T13:36:00Z</cp:lastPrinted>
  <dcterms:created xsi:type="dcterms:W3CDTF">2022-05-05T09:43:00Z</dcterms:created>
  <dcterms:modified xsi:type="dcterms:W3CDTF">2022-05-05T09:43:00Z</dcterms:modified>
</cp:coreProperties>
</file>